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AD" w:rsidRPr="00282C29" w:rsidRDefault="00201460" w:rsidP="00FB694D">
      <w:pPr>
        <w:rPr>
          <w:rFonts w:cs="Tahoma"/>
          <w:b/>
          <w:sz w:val="44"/>
          <w:szCs w:val="44"/>
        </w:rPr>
      </w:pPr>
      <w:r>
        <w:rPr>
          <w:rFonts w:cs="Tahoma"/>
          <w:b/>
          <w:sz w:val="44"/>
          <w:szCs w:val="44"/>
        </w:rPr>
        <w:t>Staff</w:t>
      </w:r>
      <w:r w:rsidR="002C1D76">
        <w:rPr>
          <w:rFonts w:cs="Tahoma"/>
          <w:b/>
          <w:sz w:val="44"/>
          <w:szCs w:val="44"/>
        </w:rPr>
        <w:t xml:space="preserve"> enrolment on VITAL</w:t>
      </w:r>
    </w:p>
    <w:p w:rsidR="00A550A7" w:rsidRPr="00F06763" w:rsidRDefault="00A550A7" w:rsidP="001462AD">
      <w:pPr>
        <w:rPr>
          <w:rFonts w:cs="Tahoma"/>
          <w:sz w:val="8"/>
          <w:szCs w:val="8"/>
        </w:rPr>
      </w:pPr>
    </w:p>
    <w:p w:rsidR="001F6A1B" w:rsidRDefault="005975CD">
      <w:pPr>
        <w:pStyle w:val="TOC1"/>
        <w:tabs>
          <w:tab w:val="right" w:leader="dot" w:pos="8302"/>
        </w:tabs>
        <w:rPr>
          <w:rFonts w:asciiTheme="minorHAnsi" w:eastAsiaTheme="minorEastAsia" w:hAnsiTheme="minorHAnsi" w:cstheme="minorBidi"/>
          <w:b w:val="0"/>
          <w:noProof/>
          <w:color w:val="auto"/>
          <w:sz w:val="22"/>
          <w:szCs w:val="22"/>
          <w:u w:val="none"/>
          <w:lang w:eastAsia="en-GB"/>
        </w:rPr>
      </w:pPr>
      <w:r w:rsidRPr="005975CD">
        <w:rPr>
          <w:rFonts w:cs="Tahoma"/>
          <w:b w:val="0"/>
          <w:sz w:val="28"/>
          <w:szCs w:val="28"/>
        </w:rPr>
        <w:fldChar w:fldCharType="begin"/>
      </w:r>
      <w:r w:rsidR="0094254C">
        <w:rPr>
          <w:rFonts w:cs="Tahoma"/>
          <w:b w:val="0"/>
          <w:sz w:val="28"/>
          <w:szCs w:val="28"/>
        </w:rPr>
        <w:instrText xml:space="preserve"> TOC \o "1-2" \n \h \z \u </w:instrText>
      </w:r>
      <w:r w:rsidRPr="005975CD">
        <w:rPr>
          <w:rFonts w:cs="Tahoma"/>
          <w:b w:val="0"/>
          <w:sz w:val="28"/>
          <w:szCs w:val="28"/>
        </w:rPr>
        <w:fldChar w:fldCharType="separate"/>
      </w:r>
      <w:hyperlink w:anchor="_Toc269914481" w:history="1">
        <w:r w:rsidR="001F6A1B" w:rsidRPr="00AA0327">
          <w:rPr>
            <w:rStyle w:val="Hyperlink"/>
            <w:noProof/>
          </w:rPr>
          <w:t>Process of staff enrolment on VITAL modules</w:t>
        </w:r>
      </w:hyperlink>
    </w:p>
    <w:p w:rsidR="001F6A1B" w:rsidRDefault="005975CD">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69914482" w:history="1">
        <w:r w:rsidR="001F6A1B" w:rsidRPr="00AA0327">
          <w:rPr>
            <w:rStyle w:val="Hyperlink"/>
            <w:noProof/>
          </w:rPr>
          <w:t>What to do when you want to enrol or remove a staff member on a VITAL module</w:t>
        </w:r>
      </w:hyperlink>
    </w:p>
    <w:p w:rsidR="001F6A1B" w:rsidRDefault="005975CD">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14483" w:history="1">
        <w:r w:rsidR="001F6A1B" w:rsidRPr="00AA0327">
          <w:rPr>
            <w:rStyle w:val="Hyperlink"/>
            <w:noProof/>
          </w:rPr>
          <w:t>Step 1: Contacting helpdesk to issue a staff member with a University username and password</w:t>
        </w:r>
      </w:hyperlink>
    </w:p>
    <w:p w:rsidR="001F6A1B" w:rsidRDefault="005975CD">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14484" w:history="1">
        <w:r w:rsidR="001F6A1B" w:rsidRPr="00AA0327">
          <w:rPr>
            <w:rStyle w:val="Hyperlink"/>
            <w:noProof/>
          </w:rPr>
          <w:t>Step 2: Check TULIP for the module specification</w:t>
        </w:r>
      </w:hyperlink>
    </w:p>
    <w:p w:rsidR="001F6A1B" w:rsidRDefault="005975CD">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14485" w:history="1">
        <w:r w:rsidR="001F6A1B" w:rsidRPr="00AA0327">
          <w:rPr>
            <w:rStyle w:val="Hyperlink"/>
            <w:noProof/>
          </w:rPr>
          <w:t>Step 3: Changing the TULIP electronic module specification (adding or deleting a staff member)</w:t>
        </w:r>
      </w:hyperlink>
    </w:p>
    <w:p w:rsidR="001F6A1B" w:rsidRDefault="005975CD">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14486" w:history="1">
        <w:r w:rsidR="001F6A1B" w:rsidRPr="00AA0327">
          <w:rPr>
            <w:rStyle w:val="Hyperlink"/>
            <w:noProof/>
          </w:rPr>
          <w:t>Further support on TULIP</w:t>
        </w:r>
      </w:hyperlink>
    </w:p>
    <w:p w:rsidR="001F6A1B" w:rsidRDefault="005975CD">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14487" w:history="1">
        <w:r w:rsidR="001F6A1B" w:rsidRPr="00AA0327">
          <w:rPr>
            <w:rStyle w:val="Hyperlink"/>
            <w:noProof/>
          </w:rPr>
          <w:t>Step 4: Adding (or deleting) a postgraduate assistant or other administrative staff on VITAL</w:t>
        </w:r>
      </w:hyperlink>
    </w:p>
    <w:p w:rsidR="001F6A1B" w:rsidRDefault="005975CD">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14488" w:history="1">
        <w:r w:rsidR="001F6A1B" w:rsidRPr="00AA0327">
          <w:rPr>
            <w:rStyle w:val="Hyperlink"/>
            <w:noProof/>
          </w:rPr>
          <w:t>Step 5: Removing staff from a VITAL module</w:t>
        </w:r>
      </w:hyperlink>
    </w:p>
    <w:p w:rsidR="001F6A1B" w:rsidRDefault="005975CD">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14489" w:history="1">
        <w:r w:rsidR="001F6A1B" w:rsidRPr="00AA0327">
          <w:rPr>
            <w:rStyle w:val="Hyperlink"/>
            <w:noProof/>
          </w:rPr>
          <w:t>Step 6 Requesting administrator access to all the VITAL modules in the department</w:t>
        </w:r>
      </w:hyperlink>
    </w:p>
    <w:p w:rsidR="00766777" w:rsidRDefault="005975CD" w:rsidP="001462AD">
      <w:pPr>
        <w:rPr>
          <w:rFonts w:cs="Tahoma"/>
          <w:b/>
          <w:sz w:val="28"/>
          <w:szCs w:val="28"/>
        </w:rPr>
      </w:pPr>
      <w:r>
        <w:rPr>
          <w:rFonts w:cs="Tahoma"/>
          <w:b/>
          <w:color w:val="1F497D" w:themeColor="text2"/>
          <w:sz w:val="28"/>
          <w:szCs w:val="28"/>
          <w:u w:val="single"/>
        </w:rPr>
        <w:fldChar w:fldCharType="end"/>
      </w:r>
    </w:p>
    <w:p w:rsidR="00634698" w:rsidRPr="00AD2DED" w:rsidRDefault="00634698" w:rsidP="00AD2DED">
      <w:pPr>
        <w:rPr>
          <w:b/>
          <w:sz w:val="28"/>
        </w:rPr>
      </w:pPr>
      <w:r w:rsidRPr="00AD2DED">
        <w:rPr>
          <w:b/>
          <w:sz w:val="28"/>
        </w:rPr>
        <w:t>Overview</w:t>
      </w:r>
    </w:p>
    <w:p w:rsidR="00FE56C1" w:rsidRDefault="00125030" w:rsidP="00220C41">
      <w:pPr>
        <w:pStyle w:val="ListParagraph"/>
        <w:numPr>
          <w:ilvl w:val="0"/>
          <w:numId w:val="9"/>
        </w:numPr>
        <w:rPr>
          <w:rFonts w:cs="Tahoma"/>
        </w:rPr>
      </w:pPr>
      <w:r w:rsidRPr="00FE56C1">
        <w:rPr>
          <w:rFonts w:cs="Tahoma"/>
        </w:rPr>
        <w:t xml:space="preserve">This guide describes the process of staff enrolment on VITAL modules and explains what to do to enrol staff members on VITAL modules if required. </w:t>
      </w:r>
    </w:p>
    <w:p w:rsidR="00FE56C1" w:rsidRDefault="00125030" w:rsidP="00220C41">
      <w:pPr>
        <w:pStyle w:val="ListParagraph"/>
        <w:numPr>
          <w:ilvl w:val="0"/>
          <w:numId w:val="9"/>
        </w:numPr>
        <w:rPr>
          <w:rFonts w:cs="Tahoma"/>
        </w:rPr>
      </w:pPr>
      <w:r w:rsidRPr="00FE56C1">
        <w:rPr>
          <w:rFonts w:cs="Tahoma"/>
        </w:rPr>
        <w:t xml:space="preserve">Staff members with teaching responsibility for a module automatically get enrolled on the VITAL module as an </w:t>
      </w:r>
      <w:r w:rsidRPr="00FE56C1">
        <w:rPr>
          <w:rFonts w:cs="Tahoma"/>
          <w:i/>
        </w:rPr>
        <w:t>instructor</w:t>
      </w:r>
      <w:r w:rsidRPr="00FE56C1">
        <w:rPr>
          <w:rFonts w:cs="Tahoma"/>
        </w:rPr>
        <w:t xml:space="preserve">. </w:t>
      </w:r>
    </w:p>
    <w:p w:rsidR="00160021" w:rsidRPr="00FE56C1" w:rsidRDefault="00F26BDE" w:rsidP="00160021">
      <w:pPr>
        <w:pStyle w:val="ListParagraph"/>
        <w:numPr>
          <w:ilvl w:val="0"/>
          <w:numId w:val="9"/>
        </w:numPr>
        <w:rPr>
          <w:rFonts w:cs="Tahoma"/>
        </w:rPr>
      </w:pPr>
      <w:r w:rsidRPr="00FE56C1">
        <w:rPr>
          <w:rFonts w:cs="Tahoma"/>
        </w:rPr>
        <w:t xml:space="preserve">Departmental TULIP administrators and heads of departments are automatically added to each module as a </w:t>
      </w:r>
      <w:r w:rsidRPr="00FE56C1">
        <w:rPr>
          <w:rFonts w:cs="Tahoma"/>
          <w:i/>
        </w:rPr>
        <w:t>course builder</w:t>
      </w:r>
      <w:r w:rsidRPr="00FE56C1">
        <w:rPr>
          <w:rFonts w:cs="Tahoma"/>
        </w:rPr>
        <w:t xml:space="preserve">. </w:t>
      </w:r>
      <w:r w:rsidR="00160021">
        <w:rPr>
          <w:rFonts w:cs="Tahoma"/>
        </w:rPr>
        <w:t xml:space="preserve">A process also exists for requesting access for administrators to all the modules in the department. </w:t>
      </w:r>
    </w:p>
    <w:p w:rsidR="00FE56C1" w:rsidRDefault="00125030" w:rsidP="00220C41">
      <w:pPr>
        <w:pStyle w:val="ListParagraph"/>
        <w:numPr>
          <w:ilvl w:val="0"/>
          <w:numId w:val="9"/>
        </w:numPr>
        <w:rPr>
          <w:rFonts w:cs="Tahoma"/>
        </w:rPr>
      </w:pPr>
      <w:r w:rsidRPr="00FE56C1">
        <w:rPr>
          <w:rFonts w:cs="Tahoma"/>
        </w:rPr>
        <w:t xml:space="preserve">Postgraduate students and other administrative staff can be enrolled to VITAL manually. </w:t>
      </w:r>
    </w:p>
    <w:p w:rsidR="00B13B3B" w:rsidRDefault="00125030" w:rsidP="00220C41">
      <w:pPr>
        <w:pStyle w:val="ListParagraph"/>
        <w:numPr>
          <w:ilvl w:val="0"/>
          <w:numId w:val="9"/>
        </w:numPr>
        <w:rPr>
          <w:rFonts w:cs="Tahoma"/>
        </w:rPr>
      </w:pPr>
      <w:r w:rsidRPr="00FE56C1">
        <w:rPr>
          <w:rFonts w:cs="Tahoma"/>
        </w:rPr>
        <w:t>There is also a separate process for enrolling external examiners and temporary teaching staff.</w:t>
      </w:r>
    </w:p>
    <w:p w:rsidR="00A036F2" w:rsidRPr="00AA2FF4" w:rsidRDefault="002C1D76" w:rsidP="00AA2FF4">
      <w:pPr>
        <w:pStyle w:val="Heading1"/>
        <w:rPr>
          <w:szCs w:val="28"/>
        </w:rPr>
      </w:pPr>
      <w:bookmarkStart w:id="0" w:name="_Create_and_add"/>
      <w:bookmarkStart w:id="1" w:name="_Add_a_single"/>
      <w:bookmarkStart w:id="2" w:name="_Toc269914481"/>
      <w:bookmarkEnd w:id="0"/>
      <w:bookmarkEnd w:id="1"/>
      <w:r>
        <w:rPr>
          <w:szCs w:val="28"/>
        </w:rPr>
        <w:t xml:space="preserve">Process of </w:t>
      </w:r>
      <w:r w:rsidR="00201460">
        <w:rPr>
          <w:szCs w:val="28"/>
        </w:rPr>
        <w:t>staff</w:t>
      </w:r>
      <w:r w:rsidR="00C8033D">
        <w:rPr>
          <w:szCs w:val="28"/>
        </w:rPr>
        <w:t xml:space="preserve"> </w:t>
      </w:r>
      <w:r>
        <w:rPr>
          <w:szCs w:val="28"/>
        </w:rPr>
        <w:t>enrolment on VITAL modules</w:t>
      </w:r>
      <w:bookmarkEnd w:id="2"/>
    </w:p>
    <w:p w:rsidR="00B633C3" w:rsidRDefault="00B633C3" w:rsidP="00FC503E">
      <w:pPr>
        <w:rPr>
          <w:rFonts w:cs="Tahoma"/>
        </w:rPr>
      </w:pPr>
    </w:p>
    <w:p w:rsidR="00F26BDE" w:rsidRDefault="00F26BDE" w:rsidP="00220C41">
      <w:pPr>
        <w:pStyle w:val="ListParagraph"/>
        <w:numPr>
          <w:ilvl w:val="0"/>
          <w:numId w:val="2"/>
        </w:numPr>
        <w:contextualSpacing w:val="0"/>
        <w:rPr>
          <w:rFonts w:cs="Arial"/>
        </w:rPr>
      </w:pPr>
      <w:bookmarkStart w:id="3" w:name="_Things_to_consider"/>
      <w:bookmarkEnd w:id="3"/>
      <w:proofErr w:type="gramStart"/>
      <w:r w:rsidRPr="00F26BDE">
        <w:rPr>
          <w:rFonts w:cs="Arial"/>
        </w:rPr>
        <w:t>Staff gain</w:t>
      </w:r>
      <w:proofErr w:type="gramEnd"/>
      <w:r w:rsidRPr="00F26BDE">
        <w:rPr>
          <w:rFonts w:cs="Arial"/>
        </w:rPr>
        <w:t xml:space="preserve"> </w:t>
      </w:r>
      <w:r w:rsidR="00FE56C1">
        <w:rPr>
          <w:rFonts w:cs="Arial"/>
        </w:rPr>
        <w:t>automatic enrolment</w:t>
      </w:r>
      <w:r w:rsidRPr="00F26BDE">
        <w:rPr>
          <w:rFonts w:cs="Arial"/>
        </w:rPr>
        <w:t xml:space="preserve"> to VITAL modules </w:t>
      </w:r>
      <w:r w:rsidR="000537B6">
        <w:rPr>
          <w:rFonts w:cs="Arial"/>
        </w:rPr>
        <w:t xml:space="preserve">as </w:t>
      </w:r>
      <w:r w:rsidR="00FE56C1">
        <w:rPr>
          <w:rFonts w:cs="Arial"/>
        </w:rPr>
        <w:t>‘I</w:t>
      </w:r>
      <w:r w:rsidR="000537B6">
        <w:rPr>
          <w:rFonts w:cs="Arial"/>
        </w:rPr>
        <w:t>nstructors</w:t>
      </w:r>
      <w:r w:rsidR="00FE56C1">
        <w:rPr>
          <w:rFonts w:cs="Arial"/>
        </w:rPr>
        <w:t>’</w:t>
      </w:r>
      <w:r w:rsidR="000537B6">
        <w:rPr>
          <w:rFonts w:cs="Arial"/>
        </w:rPr>
        <w:t xml:space="preserve"> </w:t>
      </w:r>
      <w:r w:rsidRPr="00F26BDE">
        <w:rPr>
          <w:rFonts w:cs="Arial"/>
        </w:rPr>
        <w:t xml:space="preserve">via the electronic module specifications in TULIP. </w:t>
      </w:r>
    </w:p>
    <w:p w:rsidR="00F26BDE" w:rsidRDefault="00F26BDE" w:rsidP="00220C41">
      <w:pPr>
        <w:pStyle w:val="ListParagraph"/>
        <w:numPr>
          <w:ilvl w:val="0"/>
          <w:numId w:val="2"/>
        </w:numPr>
        <w:contextualSpacing w:val="0"/>
        <w:rPr>
          <w:rFonts w:cs="Arial"/>
        </w:rPr>
      </w:pPr>
      <w:r w:rsidRPr="00F26BDE">
        <w:rPr>
          <w:rFonts w:cs="Arial"/>
        </w:rPr>
        <w:t>Staff information from the electronic module specifications are automatically added to VITAL.</w:t>
      </w:r>
    </w:p>
    <w:p w:rsidR="00F26BDE" w:rsidRDefault="00F26BDE" w:rsidP="00220C41">
      <w:pPr>
        <w:pStyle w:val="ListParagraph"/>
        <w:numPr>
          <w:ilvl w:val="0"/>
          <w:numId w:val="2"/>
        </w:numPr>
        <w:contextualSpacing w:val="0"/>
        <w:rPr>
          <w:rFonts w:cs="Arial"/>
        </w:rPr>
      </w:pPr>
      <w:r w:rsidRPr="00F26BDE">
        <w:rPr>
          <w:rFonts w:cs="Arial"/>
        </w:rPr>
        <w:t>Changes made to electronic module specifications in TULIP will come through into VITAL the next day.</w:t>
      </w:r>
    </w:p>
    <w:p w:rsidR="00F26BDE" w:rsidRPr="00F26BDE" w:rsidRDefault="00F26BDE" w:rsidP="00220C41">
      <w:pPr>
        <w:pStyle w:val="ListParagraph"/>
        <w:numPr>
          <w:ilvl w:val="0"/>
          <w:numId w:val="2"/>
        </w:numPr>
        <w:contextualSpacing w:val="0"/>
        <w:rPr>
          <w:rFonts w:cs="Arial"/>
        </w:rPr>
      </w:pPr>
      <w:r w:rsidRPr="00F26BDE">
        <w:rPr>
          <w:rFonts w:cs="Arial"/>
        </w:rPr>
        <w:t>Electronic module specifications in TULIP can be modified by the module coordinator or your departmental TULIP administrator.</w:t>
      </w:r>
      <w:r w:rsidRPr="00F26BDE">
        <w:rPr>
          <w:rFonts w:cs="Arial"/>
        </w:rPr>
        <w:br/>
      </w:r>
    </w:p>
    <w:p w:rsidR="00C24BBF" w:rsidRDefault="002C1D76" w:rsidP="00C24BBF">
      <w:pPr>
        <w:pStyle w:val="Heading1"/>
      </w:pPr>
      <w:bookmarkStart w:id="4" w:name="_Toc269914482"/>
      <w:r>
        <w:t xml:space="preserve">What to do when </w:t>
      </w:r>
      <w:r w:rsidR="005E18DB">
        <w:t>you want to enrol or remove a staff member on a</w:t>
      </w:r>
      <w:r w:rsidR="007D6EE8">
        <w:t xml:space="preserve"> </w:t>
      </w:r>
      <w:r>
        <w:t>VITAL module</w:t>
      </w:r>
      <w:bookmarkEnd w:id="4"/>
    </w:p>
    <w:p w:rsidR="00D10813" w:rsidRDefault="00A96A11" w:rsidP="00A96A11">
      <w:r>
        <w:t xml:space="preserve">The flow diagram below shows the steps and actions to resolve </w:t>
      </w:r>
      <w:r w:rsidR="00D10813">
        <w:t xml:space="preserve">issues of </w:t>
      </w:r>
      <w:r>
        <w:t>enrolment</w:t>
      </w:r>
      <w:r w:rsidR="00D10813">
        <w:t>, such as:</w:t>
      </w:r>
    </w:p>
    <w:p w:rsidR="00D10813" w:rsidRDefault="00D10813" w:rsidP="00220C41">
      <w:pPr>
        <w:pStyle w:val="ListParagraph"/>
        <w:numPr>
          <w:ilvl w:val="0"/>
          <w:numId w:val="3"/>
        </w:numPr>
      </w:pPr>
      <w:r>
        <w:t>How can I enrol a staff member who is not on the VITAL module?</w:t>
      </w:r>
    </w:p>
    <w:p w:rsidR="00D10813" w:rsidRDefault="00D10813" w:rsidP="00220C41">
      <w:pPr>
        <w:pStyle w:val="ListParagraph"/>
        <w:numPr>
          <w:ilvl w:val="0"/>
          <w:numId w:val="3"/>
        </w:numPr>
      </w:pPr>
      <w:r>
        <w:t>How can I enrol a graduate assistant?</w:t>
      </w:r>
    </w:p>
    <w:p w:rsidR="00D10813" w:rsidRDefault="00D10813" w:rsidP="00220C41">
      <w:pPr>
        <w:pStyle w:val="ListParagraph"/>
        <w:numPr>
          <w:ilvl w:val="0"/>
          <w:numId w:val="3"/>
        </w:numPr>
      </w:pPr>
      <w:r>
        <w:t>How can I enrol an administrator to the VITAL module?</w:t>
      </w:r>
    </w:p>
    <w:p w:rsidR="00D10813" w:rsidRDefault="00D10813" w:rsidP="00220C41">
      <w:pPr>
        <w:pStyle w:val="ListParagraph"/>
        <w:numPr>
          <w:ilvl w:val="0"/>
          <w:numId w:val="3"/>
        </w:numPr>
      </w:pPr>
      <w:r>
        <w:t>How can I allow our external examiner access to the module?</w:t>
      </w:r>
    </w:p>
    <w:p w:rsidR="00D10813" w:rsidRDefault="00D10813" w:rsidP="00220C41">
      <w:pPr>
        <w:pStyle w:val="ListParagraph"/>
        <w:numPr>
          <w:ilvl w:val="0"/>
          <w:numId w:val="3"/>
        </w:numPr>
      </w:pPr>
      <w:r>
        <w:t>How can I allow an external lecturer/visiting lecturer access to the module?</w:t>
      </w:r>
    </w:p>
    <w:p w:rsidR="006120A3" w:rsidRPr="006120A3" w:rsidRDefault="006120A3" w:rsidP="00220C41">
      <w:pPr>
        <w:pStyle w:val="ListParagraph"/>
        <w:numPr>
          <w:ilvl w:val="0"/>
          <w:numId w:val="3"/>
        </w:numPr>
        <w:rPr>
          <w:highlight w:val="yellow"/>
        </w:rPr>
      </w:pPr>
      <w:r w:rsidRPr="006120A3">
        <w:rPr>
          <w:highlight w:val="yellow"/>
        </w:rPr>
        <w:t xml:space="preserve">How can I give an administrator access to all </w:t>
      </w:r>
      <w:r w:rsidR="006661A2">
        <w:rPr>
          <w:highlight w:val="yellow"/>
        </w:rPr>
        <w:t xml:space="preserve">the </w:t>
      </w:r>
      <w:r w:rsidRPr="006120A3">
        <w:rPr>
          <w:highlight w:val="yellow"/>
        </w:rPr>
        <w:t>VITAL modules in the department?</w:t>
      </w:r>
      <w:r>
        <w:rPr>
          <w:highlight w:val="yellow"/>
        </w:rPr>
        <w:t xml:space="preserve"> [</w:t>
      </w:r>
      <w:proofErr w:type="gramStart"/>
      <w:r>
        <w:rPr>
          <w:highlight w:val="yellow"/>
        </w:rPr>
        <w:t>this</w:t>
      </w:r>
      <w:proofErr w:type="gramEnd"/>
      <w:r>
        <w:rPr>
          <w:highlight w:val="yellow"/>
        </w:rPr>
        <w:t xml:space="preserve"> needs </w:t>
      </w:r>
      <w:r w:rsidR="00FE291A">
        <w:rPr>
          <w:highlight w:val="yellow"/>
        </w:rPr>
        <w:t>adding to diagram</w:t>
      </w:r>
      <w:r>
        <w:rPr>
          <w:highlight w:val="yellow"/>
        </w:rPr>
        <w:t>!]</w:t>
      </w:r>
    </w:p>
    <w:p w:rsidR="00D10813" w:rsidRDefault="00D10813" w:rsidP="00A96A11"/>
    <w:p w:rsidR="00A96A11" w:rsidRPr="00A96A11" w:rsidRDefault="00A96A11" w:rsidP="00A96A11">
      <w:r>
        <w:t>Please see the relevant steps below.</w:t>
      </w:r>
    </w:p>
    <w:p w:rsidR="0014786E" w:rsidRDefault="0014786E" w:rsidP="00C316AD">
      <w:pPr>
        <w:pStyle w:val="Heading2"/>
      </w:pPr>
      <w:bookmarkStart w:id="5" w:name="_Copyright"/>
      <w:bookmarkEnd w:id="5"/>
    </w:p>
    <w:p w:rsidR="00767310" w:rsidRPr="00767310" w:rsidRDefault="006B6FA9" w:rsidP="00125030">
      <w:pPr>
        <w:jc w:val="center"/>
      </w:pPr>
      <w:r>
        <w:rPr>
          <w:noProof/>
          <w:lang w:eastAsia="en-GB"/>
        </w:rPr>
        <w:drawing>
          <wp:inline distT="0" distB="0" distL="0" distR="0">
            <wp:extent cx="5922525" cy="7896225"/>
            <wp:effectExtent l="19050" t="0" r="2025" b="0"/>
            <wp:docPr id="1" name="Picture 0" descr="staff enrolme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 enrolment3.png"/>
                    <pic:cNvPicPr/>
                  </pic:nvPicPr>
                  <pic:blipFill>
                    <a:blip r:embed="rId8" cstate="print"/>
                    <a:stretch>
                      <a:fillRect/>
                    </a:stretch>
                  </pic:blipFill>
                  <pic:spPr>
                    <a:xfrm>
                      <a:off x="0" y="0"/>
                      <a:ext cx="5923950" cy="7898126"/>
                    </a:xfrm>
                    <a:prstGeom prst="rect">
                      <a:avLst/>
                    </a:prstGeom>
                  </pic:spPr>
                </pic:pic>
              </a:graphicData>
            </a:graphic>
          </wp:inline>
        </w:drawing>
      </w:r>
    </w:p>
    <w:p w:rsidR="00A96A11" w:rsidRDefault="00A96A11" w:rsidP="00A96A11"/>
    <w:p w:rsidR="00A96A11" w:rsidRDefault="00A96A11" w:rsidP="00A96A11">
      <w:pPr>
        <w:pStyle w:val="Heading2"/>
      </w:pPr>
      <w:bookmarkStart w:id="6" w:name="_Toc269914483"/>
      <w:r>
        <w:lastRenderedPageBreak/>
        <w:t xml:space="preserve">Step 1: </w:t>
      </w:r>
      <w:r w:rsidR="007D6EE8">
        <w:t>Contacting helpdesk to issue a staff member with a University username and password</w:t>
      </w:r>
      <w:bookmarkEnd w:id="6"/>
    </w:p>
    <w:p w:rsidR="00DD2CC8" w:rsidRDefault="00DD2CC8" w:rsidP="00DD2CC8"/>
    <w:p w:rsidR="001452C5" w:rsidRDefault="001452C5" w:rsidP="00DD2CC8">
      <w:r>
        <w:t xml:space="preserve">Staff, honoraries and postgraduate students can self-register with their staff / student ID. </w:t>
      </w:r>
      <w:r>
        <w:rPr>
          <w:rFonts w:cs="Arial"/>
        </w:rPr>
        <w:t xml:space="preserve">External examiners and temporary teaching staff can be given ‘Associate members of the University’ status and then added to the electronic module specifications in TULIP to gain access to VITAL modules. </w:t>
      </w:r>
      <w:r>
        <w:t xml:space="preserve">Associate members of the university need a supporting letter from their Head of Department and complete a registration form available at </w:t>
      </w:r>
      <w:r>
        <w:rPr>
          <w:rFonts w:cs="Arial"/>
        </w:rPr>
        <w:t xml:space="preserve">CSD’s registration page: </w:t>
      </w:r>
      <w:hyperlink r:id="rId9" w:history="1">
        <w:r w:rsidRPr="00951312">
          <w:rPr>
            <w:rStyle w:val="Hyperlink"/>
          </w:rPr>
          <w:t>http://www.liv.ac.uk/csd/registration/index.htm</w:t>
        </w:r>
      </w:hyperlink>
      <w:r>
        <w:t xml:space="preserve">. </w:t>
      </w:r>
    </w:p>
    <w:p w:rsidR="007D6EE8" w:rsidRDefault="001452C5" w:rsidP="005805FF">
      <w:pPr>
        <w:pStyle w:val="Heading2"/>
      </w:pPr>
      <w:r>
        <w:rPr>
          <w:rFonts w:cs="Arial"/>
        </w:rPr>
        <w:br/>
      </w:r>
      <w:bookmarkStart w:id="7" w:name="_Toc269914484"/>
      <w:r w:rsidR="007D6EE8">
        <w:t>Step 2: Check TULIP for the module specification</w:t>
      </w:r>
      <w:bookmarkEnd w:id="7"/>
    </w:p>
    <w:p w:rsidR="007D6EE8" w:rsidRDefault="007D6EE8" w:rsidP="00F06763">
      <w:pPr>
        <w:pStyle w:val="ListParagraph"/>
      </w:pPr>
    </w:p>
    <w:p w:rsidR="005805FF" w:rsidRPr="005805FF" w:rsidRDefault="00F73EEC" w:rsidP="00220C41">
      <w:pPr>
        <w:pStyle w:val="ListParagraph"/>
        <w:numPr>
          <w:ilvl w:val="0"/>
          <w:numId w:val="4"/>
        </w:numPr>
      </w:pPr>
      <w:r>
        <w:rPr>
          <w:rFonts w:cs="Arial"/>
          <w:noProof/>
          <w:lang w:eastAsia="en-GB"/>
        </w:rPr>
        <w:drawing>
          <wp:anchor distT="0" distB="0" distL="114300" distR="114300" simplePos="0" relativeHeight="251662336" behindDoc="0" locked="0" layoutInCell="1" allowOverlap="1">
            <wp:simplePos x="0" y="0"/>
            <wp:positionH relativeFrom="column">
              <wp:posOffset>278130</wp:posOffset>
            </wp:positionH>
            <wp:positionV relativeFrom="paragraph">
              <wp:posOffset>420370</wp:posOffset>
            </wp:positionV>
            <wp:extent cx="3371850" cy="166687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371850" cy="1666875"/>
                    </a:xfrm>
                    <a:prstGeom prst="rect">
                      <a:avLst/>
                    </a:prstGeom>
                    <a:noFill/>
                    <a:ln w="9525">
                      <a:noFill/>
                      <a:miter lim="800000"/>
                      <a:headEnd/>
                      <a:tailEnd/>
                    </a:ln>
                  </pic:spPr>
                </pic:pic>
              </a:graphicData>
            </a:graphic>
          </wp:anchor>
        </w:drawing>
      </w:r>
      <w:r w:rsidR="005805FF" w:rsidRPr="001C0E58">
        <w:rPr>
          <w:rFonts w:cs="Arial"/>
        </w:rPr>
        <w:t>Login to TULIP (</w:t>
      </w:r>
      <w:hyperlink r:id="rId11" w:history="1">
        <w:r w:rsidR="005805FF" w:rsidRPr="001C0E58">
          <w:rPr>
            <w:rStyle w:val="Hyperlink"/>
            <w:rFonts w:cs="Arial"/>
          </w:rPr>
          <w:t>http://www.liv.ac.uk/tulip/</w:t>
        </w:r>
      </w:hyperlink>
      <w:r w:rsidR="005805FF">
        <w:rPr>
          <w:rFonts w:cs="Arial"/>
        </w:rPr>
        <w:t>)</w:t>
      </w:r>
    </w:p>
    <w:p w:rsidR="005805FF" w:rsidRDefault="00F82D89" w:rsidP="00220C41">
      <w:pPr>
        <w:pStyle w:val="ListParagraph"/>
        <w:numPr>
          <w:ilvl w:val="0"/>
          <w:numId w:val="4"/>
        </w:numPr>
      </w:pPr>
      <w:r>
        <w:t>Click on ‘</w:t>
      </w:r>
      <w:r w:rsidRPr="00F82D89">
        <w:rPr>
          <w:b/>
        </w:rPr>
        <w:t>Teaching’</w:t>
      </w:r>
      <w:r>
        <w:t xml:space="preserve"> in the left menu</w:t>
      </w:r>
      <w:r w:rsidR="00F73EEC">
        <w:t xml:space="preserve">, then on the </w:t>
      </w:r>
      <w:r w:rsidR="00F73EEC" w:rsidRPr="00F73EEC">
        <w:rPr>
          <w:b/>
        </w:rPr>
        <w:t>Modules</w:t>
      </w:r>
      <w:r w:rsidR="00F73EEC">
        <w:t xml:space="preserve"> (tab)</w:t>
      </w:r>
      <w:r>
        <w:t>:</w:t>
      </w:r>
    </w:p>
    <w:p w:rsidR="00F82D89" w:rsidRDefault="00F82D89" w:rsidP="00F82D89"/>
    <w:p w:rsidR="00F82D89" w:rsidRDefault="00F82D89" w:rsidP="00F82D89"/>
    <w:p w:rsidR="00F82D89" w:rsidRDefault="00F73EEC" w:rsidP="00F82D89">
      <w:r>
        <w:rPr>
          <w:noProof/>
          <w:lang w:eastAsia="en-GB"/>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361950</wp:posOffset>
            </wp:positionV>
            <wp:extent cx="5276850" cy="17145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76850" cy="1714500"/>
                    </a:xfrm>
                    <a:prstGeom prst="rect">
                      <a:avLst/>
                    </a:prstGeom>
                    <a:noFill/>
                    <a:ln w="9525">
                      <a:noFill/>
                      <a:miter lim="800000"/>
                      <a:headEnd/>
                      <a:tailEnd/>
                    </a:ln>
                  </pic:spPr>
                </pic:pic>
              </a:graphicData>
            </a:graphic>
          </wp:anchor>
        </w:drawing>
      </w:r>
    </w:p>
    <w:p w:rsidR="00F82D89" w:rsidRDefault="00F82D89" w:rsidP="00F82D89"/>
    <w:p w:rsidR="00F82D89" w:rsidRDefault="00F82D89" w:rsidP="00220C41">
      <w:pPr>
        <w:pStyle w:val="ListParagraph"/>
        <w:numPr>
          <w:ilvl w:val="0"/>
          <w:numId w:val="4"/>
        </w:numPr>
      </w:pPr>
      <w:r>
        <w:t xml:space="preserve">Click on the </w:t>
      </w:r>
      <w:r w:rsidRPr="00F82D89">
        <w:rPr>
          <w:b/>
        </w:rPr>
        <w:t>Module specifications</w:t>
      </w:r>
      <w:r w:rsidR="00522494">
        <w:t xml:space="preserve"> link, and it will </w:t>
      </w:r>
      <w:r w:rsidR="002D3823">
        <w:t>open a list of your modules.</w:t>
      </w:r>
    </w:p>
    <w:p w:rsidR="00F82D89" w:rsidRDefault="00F82D89" w:rsidP="00F82D89">
      <w:r>
        <w:rPr>
          <w:noProof/>
          <w:lang w:eastAsia="en-GB"/>
        </w:rPr>
        <w:drawing>
          <wp:inline distT="0" distB="0" distL="0" distR="0">
            <wp:extent cx="3381375" cy="1643004"/>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387117" cy="1645794"/>
                    </a:xfrm>
                    <a:prstGeom prst="rect">
                      <a:avLst/>
                    </a:prstGeom>
                    <a:noFill/>
                    <a:ln w="9525">
                      <a:noFill/>
                      <a:miter lim="800000"/>
                      <a:headEnd/>
                      <a:tailEnd/>
                    </a:ln>
                  </pic:spPr>
                </pic:pic>
              </a:graphicData>
            </a:graphic>
          </wp:inline>
        </w:drawing>
      </w:r>
    </w:p>
    <w:p w:rsidR="00522494" w:rsidRDefault="00522494" w:rsidP="00F82D89"/>
    <w:p w:rsidR="00522494" w:rsidRDefault="002D3823" w:rsidP="00220C41">
      <w:pPr>
        <w:pStyle w:val="ListParagraph"/>
        <w:numPr>
          <w:ilvl w:val="0"/>
          <w:numId w:val="4"/>
        </w:numPr>
      </w:pPr>
      <w:r>
        <w:t xml:space="preserve">To search for a particular module, enter the module code (e.g. EDEV404) in the </w:t>
      </w:r>
      <w:r w:rsidRPr="002D3823">
        <w:rPr>
          <w:b/>
        </w:rPr>
        <w:t>Find</w:t>
      </w:r>
      <w:r>
        <w:t xml:space="preserve"> box. (You can also customise which modules you want listing using the user preferences link.)</w:t>
      </w:r>
    </w:p>
    <w:p w:rsidR="002D3823" w:rsidRPr="002D3823" w:rsidRDefault="002D3823" w:rsidP="00F82D89">
      <w:pPr>
        <w:rPr>
          <w:sz w:val="8"/>
          <w:szCs w:val="8"/>
        </w:rPr>
      </w:pPr>
    </w:p>
    <w:p w:rsidR="002D3823" w:rsidRDefault="002D3823" w:rsidP="00F82D89">
      <w:r>
        <w:rPr>
          <w:noProof/>
          <w:lang w:eastAsia="en-GB"/>
        </w:rPr>
        <w:drawing>
          <wp:inline distT="0" distB="0" distL="0" distR="0">
            <wp:extent cx="5133975" cy="1114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1264" t="4615" r="1444" b="5385"/>
                    <a:stretch>
                      <a:fillRect/>
                    </a:stretch>
                  </pic:blipFill>
                  <pic:spPr bwMode="auto">
                    <a:xfrm>
                      <a:off x="0" y="0"/>
                      <a:ext cx="5133975" cy="1114425"/>
                    </a:xfrm>
                    <a:prstGeom prst="rect">
                      <a:avLst/>
                    </a:prstGeom>
                    <a:noFill/>
                    <a:ln w="9525">
                      <a:noFill/>
                      <a:miter lim="800000"/>
                      <a:headEnd/>
                      <a:tailEnd/>
                    </a:ln>
                  </pic:spPr>
                </pic:pic>
              </a:graphicData>
            </a:graphic>
          </wp:inline>
        </w:drawing>
      </w:r>
    </w:p>
    <w:p w:rsidR="00522494" w:rsidRDefault="00522494" w:rsidP="00F82D89"/>
    <w:p w:rsidR="00522494" w:rsidRDefault="002D3823" w:rsidP="00220C41">
      <w:pPr>
        <w:pStyle w:val="ListParagraph"/>
        <w:numPr>
          <w:ilvl w:val="0"/>
          <w:numId w:val="4"/>
        </w:numPr>
      </w:pPr>
      <w:r>
        <w:lastRenderedPageBreak/>
        <w:t xml:space="preserve">Click </w:t>
      </w:r>
      <w:r w:rsidRPr="002D3823">
        <w:rPr>
          <w:b/>
        </w:rPr>
        <w:t>View</w:t>
      </w:r>
      <w:r>
        <w:t xml:space="preserve"> next to the title of the module specification (</w:t>
      </w:r>
      <w:proofErr w:type="spellStart"/>
      <w:r>
        <w:t>eg</w:t>
      </w:r>
      <w:proofErr w:type="spellEnd"/>
      <w:r>
        <w:t xml:space="preserve"> EDEV404):</w:t>
      </w:r>
    </w:p>
    <w:p w:rsidR="002D3823" w:rsidRDefault="002D3823" w:rsidP="002D3823">
      <w:r>
        <w:rPr>
          <w:noProof/>
          <w:lang w:eastAsia="en-GB"/>
        </w:rPr>
        <w:drawing>
          <wp:inline distT="0" distB="0" distL="0" distR="0">
            <wp:extent cx="5133975" cy="7048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l="1444" t="5882" r="1264" b="7059"/>
                    <a:stretch>
                      <a:fillRect/>
                    </a:stretch>
                  </pic:blipFill>
                  <pic:spPr bwMode="auto">
                    <a:xfrm>
                      <a:off x="0" y="0"/>
                      <a:ext cx="5133975" cy="704850"/>
                    </a:xfrm>
                    <a:prstGeom prst="rect">
                      <a:avLst/>
                    </a:prstGeom>
                    <a:noFill/>
                    <a:ln w="9525">
                      <a:noFill/>
                      <a:miter lim="800000"/>
                      <a:headEnd/>
                      <a:tailEnd/>
                    </a:ln>
                  </pic:spPr>
                </pic:pic>
              </a:graphicData>
            </a:graphic>
          </wp:inline>
        </w:drawing>
      </w:r>
    </w:p>
    <w:p w:rsidR="002D3823" w:rsidRDefault="002D3823" w:rsidP="002D3823"/>
    <w:p w:rsidR="002D3823" w:rsidRPr="001C0E58" w:rsidRDefault="002D3823" w:rsidP="002D3823">
      <w:pPr>
        <w:rPr>
          <w:rFonts w:cs="Arial"/>
        </w:rPr>
      </w:pPr>
      <w:r>
        <w:t xml:space="preserve">See the staff listed under points 10 (module coordinator) and 13 (other staff associated with the module). These staff members get enrolled on a VITAL module automatically. </w:t>
      </w:r>
      <w:r w:rsidR="00BF2A70">
        <w:t>To amend any of these detail, please see Step 3.</w:t>
      </w:r>
    </w:p>
    <w:p w:rsidR="002D3823" w:rsidRPr="008A5061" w:rsidRDefault="002D3823" w:rsidP="002D3823">
      <w:pPr>
        <w:rPr>
          <w:sz w:val="8"/>
          <w:szCs w:val="8"/>
        </w:rPr>
      </w:pPr>
    </w:p>
    <w:p w:rsidR="002D3823" w:rsidRDefault="002D3823" w:rsidP="002D3823">
      <w:r>
        <w:rPr>
          <w:noProof/>
          <w:lang w:eastAsia="en-GB"/>
        </w:rPr>
        <w:drawing>
          <wp:inline distT="0" distB="0" distL="0" distR="0">
            <wp:extent cx="4133850" cy="25308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139518" cy="2534310"/>
                    </a:xfrm>
                    <a:prstGeom prst="rect">
                      <a:avLst/>
                    </a:prstGeom>
                    <a:noFill/>
                    <a:ln w="9525">
                      <a:noFill/>
                      <a:miter lim="800000"/>
                      <a:headEnd/>
                      <a:tailEnd/>
                    </a:ln>
                  </pic:spPr>
                </pic:pic>
              </a:graphicData>
            </a:graphic>
          </wp:inline>
        </w:drawing>
      </w:r>
    </w:p>
    <w:p w:rsidR="002D3823" w:rsidRDefault="002D3823" w:rsidP="002D3823"/>
    <w:p w:rsidR="002D3823" w:rsidRDefault="002D3823" w:rsidP="008A5061">
      <w:pPr>
        <w:pStyle w:val="Heading2"/>
      </w:pPr>
      <w:bookmarkStart w:id="8" w:name="_Toc269914485"/>
      <w:r>
        <w:t>Step 3: Changing the TULIP electronic module specification (adding or deleting a staff member)</w:t>
      </w:r>
      <w:bookmarkEnd w:id="8"/>
    </w:p>
    <w:p w:rsidR="002D3823" w:rsidRPr="00E0461B" w:rsidRDefault="002D3823" w:rsidP="002D3823">
      <w:pPr>
        <w:rPr>
          <w:sz w:val="12"/>
          <w:szCs w:val="12"/>
        </w:rPr>
      </w:pPr>
    </w:p>
    <w:p w:rsidR="002D3823" w:rsidRPr="00BF2A70" w:rsidRDefault="002D3823" w:rsidP="00220C41">
      <w:pPr>
        <w:pStyle w:val="ListParagraph"/>
        <w:numPr>
          <w:ilvl w:val="0"/>
          <w:numId w:val="4"/>
        </w:numPr>
        <w:rPr>
          <w:rFonts w:cs="Arial"/>
        </w:rPr>
      </w:pPr>
      <w:r w:rsidRPr="00BF2A70">
        <w:rPr>
          <w:rFonts w:cs="Arial"/>
        </w:rPr>
        <w:t>Changes to a module specification can be made by the module coordinator or by your d</w:t>
      </w:r>
      <w:r w:rsidR="008A5061" w:rsidRPr="00BF2A70">
        <w:rPr>
          <w:rFonts w:cs="Arial"/>
        </w:rPr>
        <w:t>epartmental TULIP administrator (who is likely to be a</w:t>
      </w:r>
      <w:r w:rsidR="006120A3">
        <w:rPr>
          <w:rFonts w:cs="Arial"/>
        </w:rPr>
        <w:t>n</w:t>
      </w:r>
      <w:r w:rsidR="008A5061" w:rsidRPr="00BF2A70">
        <w:rPr>
          <w:rFonts w:cs="Arial"/>
        </w:rPr>
        <w:t xml:space="preserve"> administrator for your department – you can also contact </w:t>
      </w:r>
      <w:hyperlink r:id="rId17" w:history="1">
        <w:r w:rsidR="008A5061" w:rsidRPr="00BF2A70">
          <w:rPr>
            <w:rStyle w:val="Hyperlink"/>
            <w:rFonts w:cs="Arial"/>
          </w:rPr>
          <w:t>tulip@liv.ac.uk</w:t>
        </w:r>
      </w:hyperlink>
      <w:r w:rsidR="008A5061" w:rsidRPr="00BF2A70">
        <w:rPr>
          <w:rFonts w:cs="Arial"/>
        </w:rPr>
        <w:t xml:space="preserve"> to find out who this may be)</w:t>
      </w:r>
      <w:r w:rsidR="00BF2A70">
        <w:rPr>
          <w:rFonts w:cs="Arial"/>
        </w:rPr>
        <w:t>.</w:t>
      </w:r>
    </w:p>
    <w:p w:rsidR="002D3823" w:rsidRPr="00E0461B" w:rsidRDefault="002D3823" w:rsidP="002D3823">
      <w:pPr>
        <w:rPr>
          <w:rFonts w:cs="Arial"/>
          <w:sz w:val="12"/>
          <w:szCs w:val="12"/>
        </w:rPr>
      </w:pPr>
    </w:p>
    <w:p w:rsidR="002D3823" w:rsidRPr="006120A3" w:rsidRDefault="002D3823" w:rsidP="002D3823">
      <w:pPr>
        <w:rPr>
          <w:rFonts w:cs="Arial"/>
          <w:i/>
        </w:rPr>
      </w:pPr>
      <w:r w:rsidRPr="006120A3">
        <w:rPr>
          <w:rFonts w:cs="Arial"/>
          <w:i/>
        </w:rPr>
        <w:t>Please note: Any changes made in TULIP will not result in any changes in VITAL until the next day!</w:t>
      </w:r>
    </w:p>
    <w:p w:rsidR="00F06763" w:rsidRDefault="00314A68" w:rsidP="00314A68">
      <w:pPr>
        <w:pStyle w:val="Heading2"/>
      </w:pPr>
      <w:bookmarkStart w:id="9" w:name="_Toc269914486"/>
      <w:r>
        <w:t>Further support on TULIP</w:t>
      </w:r>
      <w:bookmarkEnd w:id="9"/>
    </w:p>
    <w:p w:rsidR="00FE56C1" w:rsidRPr="001C0E58" w:rsidRDefault="00FE56C1" w:rsidP="00FE56C1">
      <w:pPr>
        <w:rPr>
          <w:rFonts w:cs="Arial"/>
        </w:rPr>
      </w:pPr>
      <w:r w:rsidRPr="001C0E58">
        <w:rPr>
          <w:rFonts w:cs="Arial"/>
        </w:rPr>
        <w:t>If you need help within TULIP, please consult the TULIP help files</w:t>
      </w:r>
      <w:proofErr w:type="gramStart"/>
      <w:r w:rsidRPr="00EB60A1">
        <w:rPr>
          <w:rFonts w:cs="Arial"/>
          <w:highlight w:val="yellow"/>
        </w:rPr>
        <w:t>:</w:t>
      </w:r>
      <w:r w:rsidR="00EB60A1" w:rsidRPr="00EB60A1">
        <w:rPr>
          <w:rFonts w:cs="Arial"/>
          <w:highlight w:val="yellow"/>
        </w:rPr>
        <w:t>[</w:t>
      </w:r>
      <w:proofErr w:type="gramEnd"/>
      <w:r w:rsidR="00EB60A1" w:rsidRPr="00EB60A1">
        <w:rPr>
          <w:rFonts w:cs="Arial"/>
          <w:highlight w:val="yellow"/>
        </w:rPr>
        <w:t>check with TULIP team this</w:t>
      </w:r>
      <w:r w:rsidR="00EB60A1">
        <w:rPr>
          <w:rFonts w:cs="Arial"/>
          <w:highlight w:val="yellow"/>
        </w:rPr>
        <w:t>, I think it is on VOCAL now</w:t>
      </w:r>
      <w:r w:rsidR="00EB60A1" w:rsidRPr="00EB60A1">
        <w:rPr>
          <w:rFonts w:cs="Arial"/>
          <w:highlight w:val="yellow"/>
        </w:rPr>
        <w:t>]</w:t>
      </w:r>
    </w:p>
    <w:p w:rsidR="00314A68" w:rsidRDefault="00FE56C1" w:rsidP="00F06763">
      <w:r>
        <w:rPr>
          <w:noProof/>
          <w:lang w:eastAsia="en-GB"/>
        </w:rPr>
        <w:drawing>
          <wp:inline distT="0" distB="0" distL="0" distR="0">
            <wp:extent cx="2781300" cy="600075"/>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b="26744"/>
                    <a:stretch>
                      <a:fillRect/>
                    </a:stretch>
                  </pic:blipFill>
                  <pic:spPr bwMode="auto">
                    <a:xfrm>
                      <a:off x="0" y="0"/>
                      <a:ext cx="2781300" cy="600075"/>
                    </a:xfrm>
                    <a:prstGeom prst="rect">
                      <a:avLst/>
                    </a:prstGeom>
                    <a:noFill/>
                    <a:ln w="9525">
                      <a:noFill/>
                      <a:miter lim="800000"/>
                      <a:headEnd/>
                      <a:tailEnd/>
                    </a:ln>
                  </pic:spPr>
                </pic:pic>
              </a:graphicData>
            </a:graphic>
          </wp:inline>
        </w:drawing>
      </w:r>
    </w:p>
    <w:p w:rsidR="00314A68" w:rsidRPr="001C0E58" w:rsidRDefault="00314A68" w:rsidP="00314A68">
      <w:pPr>
        <w:rPr>
          <w:rFonts w:cs="Arial"/>
        </w:rPr>
      </w:pPr>
    </w:p>
    <w:p w:rsidR="00314A68" w:rsidRPr="001C0E58" w:rsidRDefault="00314A68" w:rsidP="00314A68">
      <w:pPr>
        <w:rPr>
          <w:rFonts w:cs="Arial"/>
        </w:rPr>
      </w:pPr>
      <w:r w:rsidRPr="001C0E58">
        <w:rPr>
          <w:rFonts w:cs="Arial"/>
        </w:rPr>
        <w:t xml:space="preserve">If you need further assistance, please contact </w:t>
      </w:r>
      <w:r w:rsidR="00FE56C1">
        <w:rPr>
          <w:rFonts w:cs="Arial"/>
        </w:rPr>
        <w:t xml:space="preserve">the TULIP team at </w:t>
      </w:r>
      <w:hyperlink r:id="rId19" w:history="1">
        <w:r w:rsidR="00FE56C1">
          <w:rPr>
            <w:rStyle w:val="Hyperlink"/>
            <w:rFonts w:cs="Arial"/>
          </w:rPr>
          <w:t>tulip@liv.ac.uk</w:t>
        </w:r>
      </w:hyperlink>
      <w:r w:rsidR="00FE56C1">
        <w:rPr>
          <w:rFonts w:cs="Arial"/>
        </w:rPr>
        <w:t>.</w:t>
      </w:r>
    </w:p>
    <w:p w:rsidR="004E519C" w:rsidRDefault="004E519C" w:rsidP="004E519C">
      <w:pPr>
        <w:pStyle w:val="Heading2"/>
      </w:pPr>
      <w:bookmarkStart w:id="10" w:name="_Toc269914487"/>
      <w:r>
        <w:t xml:space="preserve">Step 4: Adding </w:t>
      </w:r>
      <w:r w:rsidR="000F5174">
        <w:t xml:space="preserve">(or deleting) </w:t>
      </w:r>
      <w:r>
        <w:t xml:space="preserve">a postgraduate assistant or other administrative staff </w:t>
      </w:r>
      <w:r w:rsidR="00BF2A70">
        <w:t>on VITAL</w:t>
      </w:r>
      <w:bookmarkEnd w:id="10"/>
    </w:p>
    <w:p w:rsidR="00656469" w:rsidRDefault="00656469" w:rsidP="00656469">
      <w:pPr>
        <w:pStyle w:val="ListParagraph"/>
      </w:pPr>
    </w:p>
    <w:p w:rsidR="00BF2A70" w:rsidRDefault="00BF2A70" w:rsidP="00BF2A70">
      <w:r>
        <w:t>To enrol main teaching staff on VITAL, please see Step 2.</w:t>
      </w:r>
    </w:p>
    <w:p w:rsidR="00E0461B" w:rsidRDefault="00E0461B" w:rsidP="00BF2A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6"/>
        <w:gridCol w:w="4112"/>
      </w:tblGrid>
      <w:tr w:rsidR="00E0461B" w:rsidTr="00E0461B">
        <w:tc>
          <w:tcPr>
            <w:tcW w:w="8528" w:type="dxa"/>
            <w:gridSpan w:val="2"/>
          </w:tcPr>
          <w:p w:rsidR="00E0461B" w:rsidRDefault="00E0461B" w:rsidP="00220C41">
            <w:pPr>
              <w:pStyle w:val="ListParagraph"/>
              <w:numPr>
                <w:ilvl w:val="0"/>
                <w:numId w:val="6"/>
              </w:numPr>
            </w:pPr>
            <w:r>
              <w:t>To enrol postgraduate assistants or other administrative staff on a VITAL module, login to VITAL and your module (e.g. ENGL101).</w:t>
            </w:r>
          </w:p>
          <w:p w:rsidR="00E0461B" w:rsidRDefault="00E0461B" w:rsidP="00BF2A70"/>
        </w:tc>
      </w:tr>
      <w:tr w:rsidR="00E0461B" w:rsidTr="00FE56C1">
        <w:tc>
          <w:tcPr>
            <w:tcW w:w="4416" w:type="dxa"/>
          </w:tcPr>
          <w:p w:rsidR="00E0461B" w:rsidRDefault="00E0461B" w:rsidP="00220C41">
            <w:pPr>
              <w:pStyle w:val="ListParagraph"/>
              <w:numPr>
                <w:ilvl w:val="0"/>
                <w:numId w:val="6"/>
              </w:numPr>
            </w:pPr>
            <w:r>
              <w:lastRenderedPageBreak/>
              <w:t xml:space="preserve">Click on </w:t>
            </w:r>
            <w:r w:rsidRPr="00BF2A70">
              <w:rPr>
                <w:b/>
              </w:rPr>
              <w:t>Control Panel</w:t>
            </w:r>
            <w:r>
              <w:t xml:space="preserve"> and then click on </w:t>
            </w:r>
            <w:r w:rsidRPr="00BF2A70">
              <w:rPr>
                <w:b/>
              </w:rPr>
              <w:t>Users</w:t>
            </w:r>
            <w:r>
              <w:t xml:space="preserve"> in the ‘</w:t>
            </w:r>
            <w:r w:rsidRPr="00BF2A70">
              <w:t>Users and Groups</w:t>
            </w:r>
            <w:r>
              <w:t>’ menu:</w:t>
            </w:r>
          </w:p>
          <w:p w:rsidR="00E0461B" w:rsidRDefault="00FE56C1" w:rsidP="00BF2A70">
            <w:r w:rsidRPr="00E0461B">
              <w:rPr>
                <w:noProof/>
                <w:lang w:eastAsia="en-GB"/>
              </w:rPr>
              <w:drawing>
                <wp:inline distT="0" distB="0" distL="0" distR="0">
                  <wp:extent cx="1210945" cy="1562100"/>
                  <wp:effectExtent l="19050" t="0" r="8255"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1210945" cy="1562100"/>
                          </a:xfrm>
                          <a:prstGeom prst="rect">
                            <a:avLst/>
                          </a:prstGeom>
                          <a:noFill/>
                          <a:ln w="9525">
                            <a:noFill/>
                            <a:miter lim="800000"/>
                            <a:headEnd/>
                            <a:tailEnd/>
                          </a:ln>
                        </pic:spPr>
                      </pic:pic>
                    </a:graphicData>
                  </a:graphic>
                </wp:inline>
              </w:drawing>
            </w:r>
          </w:p>
          <w:p w:rsidR="00FE56C1" w:rsidRDefault="00FE56C1" w:rsidP="00BF2A70"/>
        </w:tc>
        <w:tc>
          <w:tcPr>
            <w:tcW w:w="4112" w:type="dxa"/>
          </w:tcPr>
          <w:p w:rsidR="00E0461B" w:rsidRDefault="00E0461B" w:rsidP="00BF2A70"/>
        </w:tc>
      </w:tr>
      <w:tr w:rsidR="00E0461B" w:rsidTr="00FE56C1">
        <w:tc>
          <w:tcPr>
            <w:tcW w:w="4416" w:type="dxa"/>
          </w:tcPr>
          <w:p w:rsidR="00E0461B" w:rsidRDefault="00E0461B" w:rsidP="00220C41">
            <w:pPr>
              <w:pStyle w:val="ListParagraph"/>
              <w:numPr>
                <w:ilvl w:val="0"/>
                <w:numId w:val="6"/>
              </w:numPr>
            </w:pPr>
            <w:r>
              <w:t xml:space="preserve">To list all users on the course, select ‘Not blank’ from the pop-down box and click </w:t>
            </w:r>
            <w:r w:rsidRPr="00E0461B">
              <w:rPr>
                <w:b/>
              </w:rPr>
              <w:t>Go</w:t>
            </w:r>
            <w:r>
              <w:t>.</w:t>
            </w:r>
            <w:r w:rsidR="005327A6">
              <w:t xml:space="preserve"> </w:t>
            </w:r>
          </w:p>
          <w:p w:rsidR="00E0461B" w:rsidRDefault="00FE56C1" w:rsidP="00955371">
            <w:r>
              <w:rPr>
                <w:noProof/>
                <w:lang w:eastAsia="en-GB"/>
              </w:rPr>
              <w:drawing>
                <wp:inline distT="0" distB="0" distL="0" distR="0">
                  <wp:extent cx="2638425" cy="1038225"/>
                  <wp:effectExtent l="19050" t="0" r="9525"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2638425" cy="1038225"/>
                          </a:xfrm>
                          <a:prstGeom prst="rect">
                            <a:avLst/>
                          </a:prstGeom>
                          <a:noFill/>
                          <a:ln w="9525">
                            <a:noFill/>
                            <a:miter lim="800000"/>
                            <a:headEnd/>
                            <a:tailEnd/>
                          </a:ln>
                        </pic:spPr>
                      </pic:pic>
                    </a:graphicData>
                  </a:graphic>
                </wp:inline>
              </w:drawing>
            </w:r>
          </w:p>
        </w:tc>
        <w:tc>
          <w:tcPr>
            <w:tcW w:w="4112" w:type="dxa"/>
          </w:tcPr>
          <w:p w:rsidR="00E0461B" w:rsidRDefault="00E0461B" w:rsidP="00955371"/>
          <w:p w:rsidR="00FE56C1" w:rsidRDefault="00FE56C1" w:rsidP="00955371"/>
        </w:tc>
      </w:tr>
      <w:tr w:rsidR="00E0461B" w:rsidTr="00FE56C1">
        <w:tc>
          <w:tcPr>
            <w:tcW w:w="4416" w:type="dxa"/>
          </w:tcPr>
          <w:p w:rsidR="00FE56C1" w:rsidRDefault="00FE56C1" w:rsidP="00FE56C1">
            <w:pPr>
              <w:pStyle w:val="ListParagraph"/>
              <w:ind w:left="360"/>
            </w:pPr>
          </w:p>
          <w:p w:rsidR="00E0461B" w:rsidRDefault="00E0461B" w:rsidP="00220C41">
            <w:pPr>
              <w:pStyle w:val="ListParagraph"/>
              <w:numPr>
                <w:ilvl w:val="0"/>
                <w:numId w:val="6"/>
              </w:numPr>
            </w:pPr>
            <w:r>
              <w:t xml:space="preserve">To enrol a user, click on the </w:t>
            </w:r>
            <w:r w:rsidRPr="00BF2A70">
              <w:rPr>
                <w:b/>
              </w:rPr>
              <w:t>Enrol user</w:t>
            </w:r>
            <w:r>
              <w:t xml:space="preserve"> button and the </w:t>
            </w:r>
            <w:r w:rsidRPr="00BF2A70">
              <w:rPr>
                <w:b/>
              </w:rPr>
              <w:t>‘Enrol Users’</w:t>
            </w:r>
            <w:r>
              <w:t xml:space="preserve"> link. This will open an enrolment page.</w:t>
            </w:r>
          </w:p>
          <w:p w:rsidR="00E0461B" w:rsidRDefault="00E0461B" w:rsidP="00955371"/>
        </w:tc>
        <w:tc>
          <w:tcPr>
            <w:tcW w:w="4112" w:type="dxa"/>
          </w:tcPr>
          <w:p w:rsidR="00E0461B" w:rsidRDefault="00E0461B" w:rsidP="00E0461B">
            <w:pPr>
              <w:jc w:val="right"/>
            </w:pPr>
          </w:p>
        </w:tc>
      </w:tr>
    </w:tbl>
    <w:p w:rsidR="00E0461B" w:rsidRDefault="00FE56C1" w:rsidP="00BF2A70">
      <w:r>
        <w:rPr>
          <w:noProof/>
          <w:lang w:eastAsia="en-GB"/>
        </w:rPr>
        <w:drawing>
          <wp:inline distT="0" distB="0" distL="0" distR="0">
            <wp:extent cx="1409700" cy="933450"/>
            <wp:effectExtent l="19050" t="0" r="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1409700" cy="933450"/>
                    </a:xfrm>
                    <a:prstGeom prst="rect">
                      <a:avLst/>
                    </a:prstGeom>
                    <a:noFill/>
                    <a:ln w="9525">
                      <a:noFill/>
                      <a:miter lim="800000"/>
                      <a:headEnd/>
                      <a:tailEnd/>
                    </a:ln>
                  </pic:spPr>
                </pic:pic>
              </a:graphicData>
            </a:graphic>
          </wp:inline>
        </w:drawing>
      </w:r>
      <w:r w:rsidR="00EB60A1">
        <w:t>[</w:t>
      </w:r>
      <w:proofErr w:type="gramStart"/>
      <w:r w:rsidR="00EB60A1" w:rsidRPr="00EB60A1">
        <w:rPr>
          <w:highlight w:val="yellow"/>
        </w:rPr>
        <w:t>change</w:t>
      </w:r>
      <w:proofErr w:type="gramEnd"/>
      <w:r w:rsidR="00EB60A1" w:rsidRPr="00EB60A1">
        <w:rPr>
          <w:highlight w:val="yellow"/>
        </w:rPr>
        <w:t xml:space="preserve"> this image to a ‘normal’ staff one, they don’t have the two options!</w:t>
      </w:r>
    </w:p>
    <w:p w:rsidR="00BF2A70" w:rsidRDefault="00BF2A70" w:rsidP="00BF2A70"/>
    <w:p w:rsidR="00BF2A70" w:rsidRDefault="00E0461B" w:rsidP="00220C41">
      <w:pPr>
        <w:pStyle w:val="ListParagraph"/>
        <w:numPr>
          <w:ilvl w:val="0"/>
          <w:numId w:val="6"/>
        </w:numPr>
      </w:pPr>
      <w:r>
        <w:t>T</w:t>
      </w:r>
      <w:r w:rsidR="00BF2A70">
        <w:t xml:space="preserve">ype in the </w:t>
      </w:r>
      <w:r>
        <w:t xml:space="preserve">username for the staff member to be added (or click </w:t>
      </w:r>
      <w:r w:rsidRPr="00E0461B">
        <w:rPr>
          <w:b/>
        </w:rPr>
        <w:t>Browse</w:t>
      </w:r>
      <w:r>
        <w:t xml:space="preserve"> to find him/her) and select their role (e.g. instructor or teaching assistant), then click </w:t>
      </w:r>
      <w:r w:rsidRPr="00E0461B">
        <w:rPr>
          <w:b/>
        </w:rPr>
        <w:t>Submit</w:t>
      </w:r>
      <w:r>
        <w:t>.</w:t>
      </w:r>
    </w:p>
    <w:p w:rsidR="00BF2A70" w:rsidRDefault="00BF2A70" w:rsidP="00BF2A70">
      <w:r>
        <w:rPr>
          <w:noProof/>
          <w:lang w:eastAsia="en-GB"/>
        </w:rPr>
        <w:drawing>
          <wp:inline distT="0" distB="0" distL="0" distR="0">
            <wp:extent cx="3876675" cy="1712312"/>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srcRect/>
                    <a:stretch>
                      <a:fillRect/>
                    </a:stretch>
                  </pic:blipFill>
                  <pic:spPr bwMode="auto">
                    <a:xfrm>
                      <a:off x="0" y="0"/>
                      <a:ext cx="3877608" cy="1712724"/>
                    </a:xfrm>
                    <a:prstGeom prst="rect">
                      <a:avLst/>
                    </a:prstGeom>
                    <a:noFill/>
                    <a:ln w="9525">
                      <a:noFill/>
                      <a:miter lim="800000"/>
                      <a:headEnd/>
                      <a:tailEnd/>
                    </a:ln>
                  </pic:spPr>
                </pic:pic>
              </a:graphicData>
            </a:graphic>
          </wp:inline>
        </w:drawing>
      </w:r>
    </w:p>
    <w:p w:rsidR="00E0461B" w:rsidRDefault="00E0461B" w:rsidP="00BF2A70"/>
    <w:p w:rsidR="00E0461B" w:rsidRDefault="00E0461B" w:rsidP="00BF2A70">
      <w:r>
        <w:t>Staff roles (in order of increasing privileges):</w:t>
      </w:r>
    </w:p>
    <w:p w:rsidR="00E0461B" w:rsidRPr="00E0461B" w:rsidRDefault="00E0461B" w:rsidP="00220C41">
      <w:pPr>
        <w:pStyle w:val="ListParagraph"/>
        <w:numPr>
          <w:ilvl w:val="0"/>
          <w:numId w:val="7"/>
        </w:numPr>
        <w:rPr>
          <w:rFonts w:cs="Arial"/>
        </w:rPr>
      </w:pPr>
      <w:proofErr w:type="gramStart"/>
      <w:r w:rsidRPr="00E0461B">
        <w:rPr>
          <w:rFonts w:cs="Arial"/>
          <w:b/>
        </w:rPr>
        <w:lastRenderedPageBreak/>
        <w:t>Guest</w:t>
      </w:r>
      <w:r>
        <w:rPr>
          <w:rFonts w:cs="Arial"/>
        </w:rPr>
        <w:t xml:space="preserve"> </w:t>
      </w:r>
      <w:r w:rsidRPr="00E0461B">
        <w:rPr>
          <w:rFonts w:cs="Arial"/>
        </w:rPr>
        <w:t xml:space="preserve"> –</w:t>
      </w:r>
      <w:proofErr w:type="gramEnd"/>
      <w:r w:rsidRPr="00E0461B">
        <w:rPr>
          <w:rFonts w:cs="Arial"/>
        </w:rPr>
        <w:t xml:space="preserve"> has access to some or all of the content areas as specified by the instructor and does not have access to the Control Panel.</w:t>
      </w:r>
    </w:p>
    <w:p w:rsidR="00E0461B" w:rsidRPr="00E0461B" w:rsidRDefault="00E0461B" w:rsidP="00220C41">
      <w:pPr>
        <w:pStyle w:val="ListParagraph"/>
        <w:numPr>
          <w:ilvl w:val="0"/>
          <w:numId w:val="7"/>
        </w:numPr>
        <w:rPr>
          <w:rFonts w:cs="Arial"/>
        </w:rPr>
      </w:pPr>
      <w:r w:rsidRPr="00E0461B">
        <w:rPr>
          <w:rFonts w:cs="Arial"/>
          <w:b/>
        </w:rPr>
        <w:t>Student</w:t>
      </w:r>
      <w:r w:rsidRPr="00E0461B">
        <w:rPr>
          <w:rFonts w:cs="Arial"/>
        </w:rPr>
        <w:t xml:space="preserve"> – has access to all the tools, content areas, assessments and assignments that have been made available by the tutor. Students do not have access to the Control Panel.</w:t>
      </w:r>
    </w:p>
    <w:p w:rsidR="00E0461B" w:rsidRPr="00E0461B" w:rsidRDefault="00E0461B" w:rsidP="00220C41">
      <w:pPr>
        <w:pStyle w:val="ListParagraph"/>
        <w:numPr>
          <w:ilvl w:val="0"/>
          <w:numId w:val="7"/>
        </w:numPr>
        <w:rPr>
          <w:rFonts w:cs="Arial"/>
        </w:rPr>
      </w:pPr>
      <w:r w:rsidRPr="00E0461B">
        <w:rPr>
          <w:rFonts w:cs="Arial"/>
          <w:b/>
        </w:rPr>
        <w:t>Course Builder</w:t>
      </w:r>
      <w:r w:rsidRPr="00E0461B">
        <w:rPr>
          <w:rFonts w:cs="Arial"/>
        </w:rPr>
        <w:t xml:space="preserve"> – can add content to Content Areas, but cannot access the modules </w:t>
      </w:r>
      <w:proofErr w:type="spellStart"/>
      <w:r w:rsidRPr="00E0461B">
        <w:rPr>
          <w:rFonts w:cs="Arial"/>
        </w:rPr>
        <w:t>Gradebook</w:t>
      </w:r>
      <w:proofErr w:type="spellEnd"/>
      <w:r w:rsidRPr="00E0461B">
        <w:rPr>
          <w:rFonts w:cs="Arial"/>
        </w:rPr>
        <w:t xml:space="preserve"> tool and therefore any assignment or assessment information. </w:t>
      </w:r>
    </w:p>
    <w:p w:rsidR="00E0461B" w:rsidRPr="00E0461B" w:rsidRDefault="00E0461B" w:rsidP="00220C41">
      <w:pPr>
        <w:pStyle w:val="ListParagraph"/>
        <w:numPr>
          <w:ilvl w:val="0"/>
          <w:numId w:val="7"/>
        </w:numPr>
        <w:rPr>
          <w:rFonts w:cs="Arial"/>
        </w:rPr>
      </w:pPr>
      <w:r w:rsidRPr="00E0461B">
        <w:rPr>
          <w:rFonts w:cs="Arial"/>
          <w:b/>
        </w:rPr>
        <w:t>Grader</w:t>
      </w:r>
      <w:r w:rsidRPr="00E0461B">
        <w:rPr>
          <w:rFonts w:cs="Arial"/>
        </w:rPr>
        <w:t xml:space="preserve"> – can access all the assessment and assignment tools via the </w:t>
      </w:r>
      <w:proofErr w:type="spellStart"/>
      <w:r w:rsidRPr="00E0461B">
        <w:rPr>
          <w:rFonts w:cs="Arial"/>
        </w:rPr>
        <w:t>Gradebook</w:t>
      </w:r>
      <w:proofErr w:type="spellEnd"/>
      <w:r w:rsidRPr="00E0461B">
        <w:rPr>
          <w:rFonts w:cs="Arial"/>
        </w:rPr>
        <w:t xml:space="preserve"> tool. Graders cannot add, just view, content.</w:t>
      </w:r>
    </w:p>
    <w:p w:rsidR="00E0461B" w:rsidRPr="00E0461B" w:rsidRDefault="00E0461B" w:rsidP="00220C41">
      <w:pPr>
        <w:pStyle w:val="ListParagraph"/>
        <w:numPr>
          <w:ilvl w:val="0"/>
          <w:numId w:val="7"/>
        </w:numPr>
        <w:rPr>
          <w:rFonts w:cs="Arial"/>
        </w:rPr>
      </w:pPr>
      <w:r w:rsidRPr="00E0461B">
        <w:rPr>
          <w:rFonts w:cs="Arial"/>
          <w:b/>
        </w:rPr>
        <w:t>Teaching Assistant</w:t>
      </w:r>
      <w:r w:rsidRPr="00E0461B">
        <w:rPr>
          <w:rFonts w:cs="Arial"/>
        </w:rPr>
        <w:t xml:space="preserve"> – has similar status to an Instructor, but cannot add users or change their status within a module. </w:t>
      </w:r>
    </w:p>
    <w:p w:rsidR="00E0461B" w:rsidRPr="00E0461B" w:rsidRDefault="00E0461B" w:rsidP="00220C41">
      <w:pPr>
        <w:pStyle w:val="ListParagraph"/>
        <w:numPr>
          <w:ilvl w:val="0"/>
          <w:numId w:val="7"/>
        </w:numPr>
        <w:rPr>
          <w:rFonts w:cs="Arial"/>
        </w:rPr>
      </w:pPr>
      <w:r w:rsidRPr="00E0461B">
        <w:rPr>
          <w:rFonts w:cs="Arial"/>
          <w:b/>
        </w:rPr>
        <w:t>Instructor</w:t>
      </w:r>
      <w:r w:rsidRPr="00E0461B">
        <w:rPr>
          <w:rFonts w:cs="Arial"/>
        </w:rPr>
        <w:t xml:space="preserve"> (the highest access privilege) - has full control over all tools, content areas, assessment and enrolments within a module. </w:t>
      </w:r>
    </w:p>
    <w:p w:rsidR="00E0461B" w:rsidRDefault="00E0461B" w:rsidP="00BF2A70"/>
    <w:p w:rsidR="005327A6" w:rsidRDefault="00176EF2" w:rsidP="00176EF2">
      <w:pPr>
        <w:pStyle w:val="Heading2"/>
      </w:pPr>
      <w:bookmarkStart w:id="11" w:name="_Toc269914488"/>
      <w:r>
        <w:t xml:space="preserve">Step 5: </w:t>
      </w:r>
      <w:r w:rsidR="005327A6">
        <w:t xml:space="preserve">Removing </w:t>
      </w:r>
      <w:r>
        <w:t>staff from a VITAL module</w:t>
      </w:r>
      <w:bookmarkEnd w:id="11"/>
      <w:r>
        <w:t xml:space="preserve"> </w:t>
      </w:r>
    </w:p>
    <w:p w:rsidR="00176EF2" w:rsidRDefault="00176EF2" w:rsidP="00176EF2"/>
    <w:p w:rsidR="00176EF2" w:rsidRDefault="00176EF2" w:rsidP="00176EF2">
      <w:r w:rsidRPr="00D3522A">
        <w:rPr>
          <w:b/>
        </w:rPr>
        <w:t>Main staff members</w:t>
      </w:r>
      <w:r>
        <w:t xml:space="preserve"> need to be deleted (de-enrolled) from a VITAL module amending the electronic module specification</w:t>
      </w:r>
      <w:r w:rsidRPr="00176EF2">
        <w:t xml:space="preserve"> </w:t>
      </w:r>
      <w:r>
        <w:t xml:space="preserve">in TULIP (please see steps 2 and 3). This is because VITAL takes the staff information from TULIP so even though if you de-enrol or remove a staff member from the module in </w:t>
      </w:r>
      <w:proofErr w:type="gramStart"/>
      <w:r>
        <w:t>VITAL,</w:t>
      </w:r>
      <w:proofErr w:type="gramEnd"/>
      <w:r>
        <w:t xml:space="preserve"> they will be re</w:t>
      </w:r>
      <w:r w:rsidR="00D3522A">
        <w:t>in</w:t>
      </w:r>
      <w:r>
        <w:t>stated overnight if their details are still on TULIP.</w:t>
      </w:r>
    </w:p>
    <w:p w:rsidR="00176EF2" w:rsidRDefault="00176EF2" w:rsidP="00176EF2"/>
    <w:p w:rsidR="00176EF2" w:rsidRDefault="00176EF2" w:rsidP="00176EF2">
      <w:r>
        <w:t xml:space="preserve">Please also note that the </w:t>
      </w:r>
      <w:r w:rsidRPr="00D3522A">
        <w:rPr>
          <w:b/>
        </w:rPr>
        <w:t>course builders</w:t>
      </w:r>
      <w:r>
        <w:t xml:space="preserve"> </w:t>
      </w:r>
      <w:r w:rsidR="00D3522A">
        <w:t xml:space="preserve">(TULIP administrators are given this access status to all departmental VITAL modules) </w:t>
      </w:r>
      <w:r>
        <w:t xml:space="preserve">on the </w:t>
      </w:r>
      <w:r w:rsidR="00D3522A">
        <w:t>module are also automatically added, so even if you delete them, they will be re-instated the next day.</w:t>
      </w:r>
    </w:p>
    <w:p w:rsidR="00176EF2" w:rsidRDefault="00176EF2" w:rsidP="00176EF2"/>
    <w:p w:rsidR="00176EF2" w:rsidRDefault="00D3522A" w:rsidP="00176EF2">
      <w:r>
        <w:t xml:space="preserve">You can remove or delete </w:t>
      </w:r>
      <w:r w:rsidRPr="00D3522A">
        <w:rPr>
          <w:b/>
        </w:rPr>
        <w:t>graduate assistants</w:t>
      </w:r>
      <w:r>
        <w:t xml:space="preserve"> or </w:t>
      </w:r>
      <w:r w:rsidRPr="00D3522A">
        <w:rPr>
          <w:b/>
        </w:rPr>
        <w:t>temporary staff</w:t>
      </w:r>
      <w:r>
        <w:t xml:space="preserve"> directly in VITAL:</w:t>
      </w:r>
    </w:p>
    <w:p w:rsidR="00D3522A" w:rsidRDefault="00D3522A" w:rsidP="00176EF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8"/>
      </w:tblGrid>
      <w:tr w:rsidR="00B746A0" w:rsidTr="00B746A0">
        <w:tc>
          <w:tcPr>
            <w:tcW w:w="8528" w:type="dxa"/>
          </w:tcPr>
          <w:p w:rsidR="00B746A0" w:rsidRDefault="00B746A0" w:rsidP="00220C41">
            <w:pPr>
              <w:pStyle w:val="ListParagraph"/>
              <w:numPr>
                <w:ilvl w:val="0"/>
                <w:numId w:val="8"/>
              </w:numPr>
            </w:pPr>
            <w:r>
              <w:t xml:space="preserve">Click on </w:t>
            </w:r>
            <w:r w:rsidRPr="00D3522A">
              <w:rPr>
                <w:b/>
              </w:rPr>
              <w:t>Control Panel</w:t>
            </w:r>
            <w:r>
              <w:t xml:space="preserve">, then click on </w:t>
            </w:r>
            <w:r w:rsidRPr="00D3522A">
              <w:rPr>
                <w:b/>
              </w:rPr>
              <w:t>Users</w:t>
            </w:r>
            <w:r>
              <w:t xml:space="preserve"> in the ‘</w:t>
            </w:r>
            <w:r w:rsidRPr="00BF2A70">
              <w:t>Users and Groups</w:t>
            </w:r>
            <w:r>
              <w:t>’ menu.</w:t>
            </w:r>
          </w:p>
          <w:p w:rsidR="00B746A0" w:rsidRDefault="00B746A0" w:rsidP="00B746A0"/>
        </w:tc>
      </w:tr>
      <w:tr w:rsidR="00220C41" w:rsidTr="006F46E9">
        <w:tc>
          <w:tcPr>
            <w:tcW w:w="8528" w:type="dxa"/>
          </w:tcPr>
          <w:p w:rsidR="00220C41" w:rsidRDefault="00220C41" w:rsidP="00220C41">
            <w:pPr>
              <w:pStyle w:val="ListParagraph"/>
              <w:numPr>
                <w:ilvl w:val="0"/>
                <w:numId w:val="8"/>
              </w:numPr>
            </w:pPr>
            <w:r>
              <w:t xml:space="preserve">To list all users on the course, enter % in the search box and click </w:t>
            </w:r>
            <w:r w:rsidRPr="00E0461B">
              <w:rPr>
                <w:b/>
              </w:rPr>
              <w:t>Go</w:t>
            </w:r>
            <w:r>
              <w:t xml:space="preserve">. </w:t>
            </w:r>
          </w:p>
          <w:p w:rsidR="00220C41" w:rsidRDefault="00220C41" w:rsidP="00B746A0"/>
          <w:p w:rsidR="00220C41" w:rsidRDefault="00220C41" w:rsidP="00220C41">
            <w:pPr>
              <w:jc w:val="center"/>
            </w:pPr>
            <w:r>
              <w:rPr>
                <w:noProof/>
                <w:lang w:eastAsia="en-GB"/>
              </w:rPr>
              <w:drawing>
                <wp:inline distT="0" distB="0" distL="0" distR="0">
                  <wp:extent cx="3743325" cy="1025778"/>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743325" cy="1025778"/>
                          </a:xfrm>
                          <a:prstGeom prst="rect">
                            <a:avLst/>
                          </a:prstGeom>
                          <a:noFill/>
                          <a:ln w="9525">
                            <a:noFill/>
                            <a:miter lim="800000"/>
                            <a:headEnd/>
                            <a:tailEnd/>
                          </a:ln>
                        </pic:spPr>
                      </pic:pic>
                    </a:graphicData>
                  </a:graphic>
                </wp:inline>
              </w:drawing>
            </w:r>
          </w:p>
        </w:tc>
      </w:tr>
    </w:tbl>
    <w:p w:rsidR="00176EF2" w:rsidRDefault="00176EF2" w:rsidP="00176EF2"/>
    <w:p w:rsidR="00176EF2" w:rsidRPr="00176EF2" w:rsidRDefault="00D3522A" w:rsidP="00220C41">
      <w:pPr>
        <w:pStyle w:val="ListParagraph"/>
        <w:numPr>
          <w:ilvl w:val="0"/>
          <w:numId w:val="8"/>
        </w:numPr>
      </w:pPr>
      <w:r>
        <w:t>Next to the user to be removed, click on the downward pointing double-arrow and select ‘</w:t>
      </w:r>
      <w:r w:rsidRPr="00D3522A">
        <w:rPr>
          <w:b/>
        </w:rPr>
        <w:t>Remove Users from Course</w:t>
      </w:r>
      <w:r>
        <w:t xml:space="preserve">’. </w:t>
      </w:r>
    </w:p>
    <w:p w:rsidR="005327A6" w:rsidRDefault="00FE56C1" w:rsidP="00BF2A70">
      <w:r w:rsidRPr="00FB3320">
        <w:rPr>
          <w:noProof/>
          <w:highlight w:val="yellow"/>
          <w:lang w:eastAsia="en-GB"/>
        </w:rPr>
        <w:lastRenderedPageBreak/>
        <w:drawing>
          <wp:inline distT="0" distB="0" distL="0" distR="0">
            <wp:extent cx="5278120" cy="295843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278120" cy="2958437"/>
                    </a:xfrm>
                    <a:prstGeom prst="rect">
                      <a:avLst/>
                    </a:prstGeom>
                    <a:noFill/>
                    <a:ln w="9525">
                      <a:noFill/>
                      <a:miter lim="800000"/>
                      <a:headEnd/>
                      <a:tailEnd/>
                    </a:ln>
                  </pic:spPr>
                </pic:pic>
              </a:graphicData>
            </a:graphic>
          </wp:inline>
        </w:drawing>
      </w:r>
      <w:r w:rsidR="00FB3320" w:rsidRPr="00FB3320">
        <w:rPr>
          <w:highlight w:val="yellow"/>
        </w:rPr>
        <w:t>[</w:t>
      </w:r>
      <w:proofErr w:type="gramStart"/>
      <w:r w:rsidR="00FB3320" w:rsidRPr="00FB3320">
        <w:rPr>
          <w:highlight w:val="yellow"/>
        </w:rPr>
        <w:t>image</w:t>
      </w:r>
      <w:proofErr w:type="gramEnd"/>
      <w:r w:rsidR="00FB3320" w:rsidRPr="00FB3320">
        <w:rPr>
          <w:highlight w:val="yellow"/>
        </w:rPr>
        <w:t xml:space="preserve"> needs changing to highlight ‘remove users from course’ which is currently not available in the archive server]</w:t>
      </w:r>
    </w:p>
    <w:p w:rsidR="004E3DD2" w:rsidRDefault="004E3DD2" w:rsidP="00BF2A70"/>
    <w:p w:rsidR="004E3DD2" w:rsidRDefault="00932DD3" w:rsidP="00932DD3">
      <w:pPr>
        <w:pStyle w:val="Heading2"/>
      </w:pPr>
      <w:bookmarkStart w:id="12" w:name="_Toc269914489"/>
      <w:r>
        <w:t xml:space="preserve">Step 6 Requesting </w:t>
      </w:r>
      <w:r w:rsidR="004E3DD2">
        <w:t>administrator</w:t>
      </w:r>
      <w:r>
        <w:t xml:space="preserve"> access</w:t>
      </w:r>
      <w:r w:rsidR="004E3DD2">
        <w:t xml:space="preserve"> to all the VITAL modules </w:t>
      </w:r>
      <w:r>
        <w:t>in the department</w:t>
      </w:r>
      <w:bookmarkEnd w:id="12"/>
    </w:p>
    <w:p w:rsidR="006F46E9" w:rsidRDefault="006F46E9" w:rsidP="00BF2A70"/>
    <w:p w:rsidR="00932DD3" w:rsidRDefault="00636576" w:rsidP="00BF2A70">
      <w:r>
        <w:t>A</w:t>
      </w:r>
      <w:r w:rsidR="006F46E9">
        <w:t xml:space="preserve">dministrators who need access to </w:t>
      </w:r>
      <w:r w:rsidR="006F46E9" w:rsidRPr="00636576">
        <w:rPr>
          <w:i/>
        </w:rPr>
        <w:t>all</w:t>
      </w:r>
      <w:r w:rsidR="006F46E9">
        <w:t xml:space="preserve"> VITAL modules in the department can be given automatic access to the modules as ‘course builders’ by becom</w:t>
      </w:r>
      <w:r>
        <w:t>ing a TULIP administrator. The process for this is:</w:t>
      </w:r>
    </w:p>
    <w:p w:rsidR="00636576" w:rsidRDefault="00636576" w:rsidP="00BF2A70"/>
    <w:p w:rsidR="00636576" w:rsidRDefault="00636576" w:rsidP="00BF2A70">
      <w:pPr>
        <w:rPr>
          <w:b/>
        </w:rPr>
      </w:pPr>
      <w:r w:rsidRPr="00636576">
        <w:rPr>
          <w:b/>
        </w:rPr>
        <w:t>Request to be a TULIP administrator</w:t>
      </w:r>
    </w:p>
    <w:p w:rsidR="00F23644" w:rsidRPr="00636576" w:rsidRDefault="00F23644" w:rsidP="00BF2A70">
      <w:pPr>
        <w:rPr>
          <w:b/>
        </w:rPr>
      </w:pPr>
    </w:p>
    <w:p w:rsidR="00F23644" w:rsidRDefault="006F46E9" w:rsidP="00636576">
      <w:pPr>
        <w:pStyle w:val="ListParagraph"/>
        <w:numPr>
          <w:ilvl w:val="0"/>
          <w:numId w:val="10"/>
        </w:numPr>
      </w:pPr>
      <w:r>
        <w:t xml:space="preserve">The Head of Department needs to email </w:t>
      </w:r>
      <w:hyperlink r:id="rId26" w:history="1">
        <w:r w:rsidRPr="00116A8A">
          <w:rPr>
            <w:rStyle w:val="Hyperlink"/>
          </w:rPr>
          <w:t>tulip@liv.ac.uk</w:t>
        </w:r>
      </w:hyperlink>
      <w:r>
        <w:t xml:space="preserve"> to request the </w:t>
      </w:r>
      <w:r w:rsidR="00636576">
        <w:t xml:space="preserve">administrator’s access to all the departmental VITAL modules from the </w:t>
      </w:r>
      <w:r>
        <w:t>Tu</w:t>
      </w:r>
      <w:r w:rsidR="00636576">
        <w:t>lip team.</w:t>
      </w:r>
      <w:r w:rsidR="00F23644">
        <w:t xml:space="preserve"> </w:t>
      </w:r>
    </w:p>
    <w:p w:rsidR="00F23644" w:rsidRDefault="00F23644" w:rsidP="00F23644">
      <w:pPr>
        <w:ind w:left="360"/>
      </w:pPr>
    </w:p>
    <w:p w:rsidR="006F46E9" w:rsidRPr="00F23644" w:rsidRDefault="004E61E8" w:rsidP="00F23644">
      <w:pPr>
        <w:ind w:left="360"/>
        <w:rPr>
          <w:i/>
        </w:rPr>
      </w:pPr>
      <w:r w:rsidRPr="00F23644">
        <w:rPr>
          <w:i/>
        </w:rPr>
        <w:t>TULIP is the system which provides VITAL with all information regarding students, instructors and module enrolments which is why the e-mail should be sent to the TULIP Technical Team rather than the VITAL Technical Team.</w:t>
      </w:r>
    </w:p>
    <w:p w:rsidR="00F23644" w:rsidRDefault="00F23644" w:rsidP="00F23644">
      <w:pPr>
        <w:pStyle w:val="ListParagraph"/>
      </w:pPr>
    </w:p>
    <w:p w:rsidR="00636576" w:rsidRDefault="00636576" w:rsidP="00636576">
      <w:pPr>
        <w:pStyle w:val="ListParagraph"/>
        <w:numPr>
          <w:ilvl w:val="0"/>
          <w:numId w:val="10"/>
        </w:numPr>
      </w:pPr>
      <w:r>
        <w:t xml:space="preserve">Once this is done by the Tulip team, the administrator should have access to all modules after an </w:t>
      </w:r>
      <w:proofErr w:type="spellStart"/>
      <w:r>
        <w:t>overnightly</w:t>
      </w:r>
      <w:proofErr w:type="spellEnd"/>
      <w:r>
        <w:t xml:space="preserve"> update process in VITAL. They will be able to see the modul</w:t>
      </w:r>
      <w:r w:rsidR="00F23644">
        <w:t>es under ‘C</w:t>
      </w:r>
      <w:r>
        <w:t>ourse</w:t>
      </w:r>
      <w:r w:rsidR="00F23644">
        <w:t>s</w:t>
      </w:r>
      <w:r>
        <w:t xml:space="preserve"> </w:t>
      </w:r>
      <w:r w:rsidR="00F23644">
        <w:t>you are</w:t>
      </w:r>
      <w:r>
        <w:t xml:space="preserve"> building’ as they have course builder access to the modules by default.</w:t>
      </w:r>
    </w:p>
    <w:p w:rsidR="00636576" w:rsidRDefault="008757A7" w:rsidP="00636576">
      <w:r>
        <w:rPr>
          <w:noProof/>
          <w:lang w:eastAsia="en-GB"/>
        </w:rPr>
        <w:pict>
          <v:shapetype id="_x0000_t202" coordsize="21600,21600" o:spt="202" path="m,l,21600r21600,l21600,xe">
            <v:stroke joinstyle="miter"/>
            <v:path gradientshapeok="t" o:connecttype="rect"/>
          </v:shapetype>
          <v:shape id="_x0000_s1026" type="#_x0000_t202" style="position:absolute;margin-left:2.4pt;margin-top:1.85pt;width:171.75pt;height:132.65pt;z-index:251663360">
            <v:textbox>
              <w:txbxContent>
                <w:p w:rsidR="004E61E8" w:rsidRDefault="004E61E8">
                  <w:r>
                    <w:t xml:space="preserve">Note: </w:t>
                  </w:r>
                  <w:r w:rsidRPr="00636576">
                    <w:rPr>
                      <w:b/>
                    </w:rPr>
                    <w:t>Course builders</w:t>
                  </w:r>
                  <w:r>
                    <w:t xml:space="preserve"> have access to upload content. They do not have access to the Grade </w:t>
                  </w:r>
                  <w:proofErr w:type="spellStart"/>
                  <w:r>
                    <w:t>Center</w:t>
                  </w:r>
                  <w:proofErr w:type="spellEnd"/>
                  <w:r>
                    <w:t xml:space="preserve"> or other submission and marking data. If this is needed, administrators need to be upgraded as instructors</w:t>
                  </w:r>
                  <w:r w:rsidR="00F23644">
                    <w:t xml:space="preserve"> on the modules.</w:t>
                  </w:r>
                </w:p>
              </w:txbxContent>
            </v:textbox>
          </v:shape>
        </w:pict>
      </w:r>
    </w:p>
    <w:p w:rsidR="00636576" w:rsidRDefault="00636576" w:rsidP="00636576"/>
    <w:p w:rsidR="00636576" w:rsidRDefault="00636576" w:rsidP="00636576"/>
    <w:p w:rsidR="00636576" w:rsidRDefault="00636576" w:rsidP="00636576"/>
    <w:p w:rsidR="00636576" w:rsidRDefault="00636576" w:rsidP="00636576"/>
    <w:p w:rsidR="00636576" w:rsidRDefault="00636576" w:rsidP="00636576"/>
    <w:p w:rsidR="004E61E8" w:rsidRDefault="004E61E8" w:rsidP="00636576">
      <w:pPr>
        <w:rPr>
          <w:b/>
        </w:rPr>
      </w:pPr>
    </w:p>
    <w:p w:rsidR="004E61E8" w:rsidRDefault="004E61E8" w:rsidP="00636576">
      <w:pPr>
        <w:rPr>
          <w:b/>
        </w:rPr>
      </w:pPr>
    </w:p>
    <w:p w:rsidR="004E61E8" w:rsidRDefault="004E61E8" w:rsidP="00636576">
      <w:pPr>
        <w:rPr>
          <w:b/>
        </w:rPr>
      </w:pPr>
    </w:p>
    <w:p w:rsidR="00F23644" w:rsidRDefault="00F23644" w:rsidP="00636576">
      <w:pPr>
        <w:rPr>
          <w:b/>
        </w:rPr>
      </w:pPr>
    </w:p>
    <w:p w:rsidR="00636576" w:rsidRDefault="00636576" w:rsidP="00636576">
      <w:pPr>
        <w:rPr>
          <w:b/>
        </w:rPr>
      </w:pPr>
      <w:r w:rsidRPr="00636576">
        <w:rPr>
          <w:b/>
        </w:rPr>
        <w:lastRenderedPageBreak/>
        <w:t xml:space="preserve">Request to be upgraded to </w:t>
      </w:r>
      <w:r>
        <w:rPr>
          <w:b/>
        </w:rPr>
        <w:t>‘</w:t>
      </w:r>
      <w:r w:rsidRPr="00636576">
        <w:rPr>
          <w:b/>
        </w:rPr>
        <w:t>instructor</w:t>
      </w:r>
      <w:r>
        <w:rPr>
          <w:b/>
        </w:rPr>
        <w:t xml:space="preserve">’ status </w:t>
      </w:r>
      <w:r w:rsidRPr="00636576">
        <w:rPr>
          <w:b/>
        </w:rPr>
        <w:t xml:space="preserve">on </w:t>
      </w:r>
      <w:r>
        <w:rPr>
          <w:b/>
        </w:rPr>
        <w:t xml:space="preserve">all departmental </w:t>
      </w:r>
      <w:r w:rsidRPr="00636576">
        <w:rPr>
          <w:b/>
        </w:rPr>
        <w:t>VITAL modules</w:t>
      </w:r>
    </w:p>
    <w:p w:rsidR="00F23644" w:rsidRDefault="00F23644" w:rsidP="00636576"/>
    <w:p w:rsidR="00F23644" w:rsidRPr="00F23644" w:rsidRDefault="00F23644" w:rsidP="00636576">
      <w:r w:rsidRPr="00F23644">
        <w:t>‘Instructor’ status</w:t>
      </w:r>
      <w:r>
        <w:t xml:space="preserve"> can be requested if the administrator needs </w:t>
      </w:r>
      <w:r w:rsidR="000A49F1">
        <w:t>get into</w:t>
      </w:r>
      <w:r>
        <w:t xml:space="preserve"> to the Grade </w:t>
      </w:r>
      <w:proofErr w:type="spellStart"/>
      <w:r>
        <w:t>Center</w:t>
      </w:r>
      <w:proofErr w:type="spellEnd"/>
      <w:r>
        <w:t xml:space="preserve"> to access grades or assessment data across the department’s modules.</w:t>
      </w:r>
    </w:p>
    <w:p w:rsidR="00E872F9" w:rsidRPr="00636576" w:rsidRDefault="00E872F9" w:rsidP="00636576">
      <w:pPr>
        <w:rPr>
          <w:b/>
        </w:rPr>
      </w:pPr>
    </w:p>
    <w:p w:rsidR="00636576" w:rsidRDefault="004E61E8" w:rsidP="00636576">
      <w:pPr>
        <w:pStyle w:val="ListParagraph"/>
        <w:numPr>
          <w:ilvl w:val="0"/>
          <w:numId w:val="11"/>
        </w:numPr>
      </w:pPr>
      <w:r>
        <w:t xml:space="preserve">If the staff member to be given department-wide instructor status on VITAL modules, they should already </w:t>
      </w:r>
      <w:r w:rsidR="00F23644">
        <w:t>have TULIP administrator status</w:t>
      </w:r>
      <w:r w:rsidR="000A49F1">
        <w:t xml:space="preserve"> (</w:t>
      </w:r>
      <w:r>
        <w:t xml:space="preserve">if they </w:t>
      </w:r>
      <w:r w:rsidR="00F23644">
        <w:t>have not</w:t>
      </w:r>
      <w:r>
        <w:t>, follow the steps above-or REF).</w:t>
      </w:r>
    </w:p>
    <w:p w:rsidR="00F23644" w:rsidRDefault="00F23644" w:rsidP="00F23644">
      <w:pPr>
        <w:pStyle w:val="ListParagraph"/>
      </w:pPr>
    </w:p>
    <w:p w:rsidR="004E61E8" w:rsidRPr="004F2F6D" w:rsidRDefault="004E61E8" w:rsidP="00636576">
      <w:pPr>
        <w:pStyle w:val="ListParagraph"/>
        <w:numPr>
          <w:ilvl w:val="0"/>
          <w:numId w:val="11"/>
        </w:numPr>
        <w:rPr>
          <w:highlight w:val="yellow"/>
        </w:rPr>
      </w:pPr>
      <w:r>
        <w:t xml:space="preserve">The Head of Department should send an email to </w:t>
      </w:r>
      <w:hyperlink r:id="rId27" w:history="1">
        <w:r w:rsidRPr="00116A8A">
          <w:rPr>
            <w:rStyle w:val="Hyperlink"/>
          </w:rPr>
          <w:t>helpdesk@liv.ac.uk</w:t>
        </w:r>
      </w:hyperlink>
      <w:r>
        <w:t xml:space="preserve"> for the attention of the VITAL technica</w:t>
      </w:r>
      <w:r w:rsidR="00F23644">
        <w:t>l team and ask for the administrator’s upgrade to ‘instructor’ on all modules.</w:t>
      </w:r>
      <w:r w:rsidR="004F2F6D">
        <w:t xml:space="preserve"> </w:t>
      </w:r>
      <w:r w:rsidR="004F2F6D" w:rsidRPr="004F2F6D">
        <w:rPr>
          <w:highlight w:val="yellow"/>
        </w:rPr>
        <w:t>[</w:t>
      </w:r>
      <w:proofErr w:type="gramStart"/>
      <w:r w:rsidR="004F2F6D" w:rsidRPr="004F2F6D">
        <w:rPr>
          <w:highlight w:val="yellow"/>
        </w:rPr>
        <w:t>is</w:t>
      </w:r>
      <w:proofErr w:type="gramEnd"/>
      <w:r w:rsidR="004F2F6D" w:rsidRPr="004F2F6D">
        <w:rPr>
          <w:highlight w:val="yellow"/>
        </w:rPr>
        <w:t xml:space="preserve"> this </w:t>
      </w:r>
      <w:proofErr w:type="spellStart"/>
      <w:r w:rsidR="004F2F6D" w:rsidRPr="004F2F6D">
        <w:rPr>
          <w:highlight w:val="yellow"/>
        </w:rPr>
        <w:t>right?can</w:t>
      </w:r>
      <w:proofErr w:type="spellEnd"/>
      <w:r w:rsidR="004F2F6D" w:rsidRPr="004F2F6D">
        <w:rPr>
          <w:highlight w:val="yellow"/>
        </w:rPr>
        <w:t xml:space="preserve"> the two not be done in one go?]</w:t>
      </w:r>
    </w:p>
    <w:p w:rsidR="004F2F6D" w:rsidRDefault="004F2F6D" w:rsidP="004F2F6D">
      <w:pPr>
        <w:pStyle w:val="ListParagraph"/>
      </w:pPr>
    </w:p>
    <w:p w:rsidR="004F2F6D" w:rsidRDefault="004F2F6D" w:rsidP="00636576">
      <w:pPr>
        <w:pStyle w:val="ListParagraph"/>
        <w:numPr>
          <w:ilvl w:val="0"/>
          <w:numId w:val="11"/>
        </w:numPr>
      </w:pPr>
      <w:r>
        <w:t xml:space="preserve">After this is done by the VITAL technical team, the administrator should have access as instructor after an </w:t>
      </w:r>
      <w:proofErr w:type="spellStart"/>
      <w:r>
        <w:t>overnightly</w:t>
      </w:r>
      <w:proofErr w:type="spellEnd"/>
      <w:r>
        <w:t xml:space="preserve"> update process.</w:t>
      </w:r>
    </w:p>
    <w:p w:rsidR="00F23644" w:rsidRDefault="00F23644" w:rsidP="00F23644">
      <w:pPr>
        <w:pStyle w:val="ListParagraph"/>
      </w:pPr>
    </w:p>
    <w:p w:rsidR="006B3727" w:rsidRDefault="006B3727" w:rsidP="006B3727">
      <w:pPr>
        <w:rPr>
          <w:szCs w:val="28"/>
        </w:rPr>
      </w:pPr>
    </w:p>
    <w:p w:rsidR="00F26BDE" w:rsidRDefault="00F26BDE" w:rsidP="006B3727">
      <w:r>
        <w:rPr>
          <w:szCs w:val="28"/>
        </w:rPr>
        <w:t>See also</w:t>
      </w:r>
      <w:r w:rsidR="00D3522A">
        <w:rPr>
          <w:szCs w:val="28"/>
        </w:rPr>
        <w:t xml:space="preserve"> t</w:t>
      </w:r>
      <w:r>
        <w:t>he How to guides on:</w:t>
      </w:r>
    </w:p>
    <w:p w:rsidR="00125030" w:rsidRDefault="00F26BDE" w:rsidP="00220C41">
      <w:pPr>
        <w:pStyle w:val="ListParagraph"/>
        <w:numPr>
          <w:ilvl w:val="0"/>
          <w:numId w:val="5"/>
        </w:numPr>
      </w:pPr>
      <w:r>
        <w:t>A</w:t>
      </w:r>
      <w:r w:rsidR="00125030">
        <w:t>nnual module rollover</w:t>
      </w:r>
      <w:r w:rsidR="006B3727">
        <w:t>;</w:t>
      </w:r>
    </w:p>
    <w:p w:rsidR="00125030" w:rsidRDefault="00125030" w:rsidP="00220C41">
      <w:pPr>
        <w:pStyle w:val="ListParagraph"/>
        <w:numPr>
          <w:ilvl w:val="0"/>
          <w:numId w:val="5"/>
        </w:numPr>
      </w:pPr>
      <w:r>
        <w:t>Guest</w:t>
      </w:r>
      <w:r w:rsidR="00F26BDE">
        <w:t xml:space="preserve"> access</w:t>
      </w:r>
      <w:r w:rsidR="006B3727">
        <w:t>;</w:t>
      </w:r>
    </w:p>
    <w:p w:rsidR="00125030" w:rsidRDefault="00125030" w:rsidP="00220C41">
      <w:pPr>
        <w:pStyle w:val="ListParagraph"/>
        <w:numPr>
          <w:ilvl w:val="0"/>
          <w:numId w:val="5"/>
        </w:numPr>
      </w:pPr>
      <w:r>
        <w:t>Student enrolment</w:t>
      </w:r>
      <w:r w:rsidR="006B3727">
        <w:t>.</w:t>
      </w:r>
    </w:p>
    <w:p w:rsidR="00125030" w:rsidRDefault="00125030" w:rsidP="00656469">
      <w:pPr>
        <w:pStyle w:val="ListParagraph"/>
      </w:pPr>
    </w:p>
    <w:sectPr w:rsidR="00125030" w:rsidSect="00783199">
      <w:headerReference w:type="even" r:id="rId28"/>
      <w:headerReference w:type="default" r:id="rId29"/>
      <w:footerReference w:type="even" r:id="rId30"/>
      <w:footerReference w:type="default" r:id="rId31"/>
      <w:headerReference w:type="first" r:id="rId32"/>
      <w:footerReference w:type="first" r:id="rId33"/>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1E8" w:rsidRDefault="004E61E8" w:rsidP="00AB21AD">
      <w:pPr>
        <w:pStyle w:val="Objectives"/>
      </w:pPr>
      <w:r>
        <w:separator/>
      </w:r>
    </w:p>
    <w:p w:rsidR="004E61E8" w:rsidRDefault="004E61E8"/>
  </w:endnote>
  <w:endnote w:type="continuationSeparator" w:id="0">
    <w:p w:rsidR="004E61E8" w:rsidRDefault="004E61E8" w:rsidP="00AB21AD">
      <w:pPr>
        <w:pStyle w:val="Objectives"/>
      </w:pPr>
      <w:r>
        <w:continuationSeparator/>
      </w:r>
    </w:p>
    <w:p w:rsidR="004E61E8" w:rsidRDefault="004E61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E8" w:rsidRDefault="004E61E8">
    <w:pPr>
      <w:pStyle w:val="Footer"/>
    </w:pPr>
  </w:p>
  <w:p w:rsidR="004E61E8" w:rsidRDefault="004E61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E8" w:rsidRDefault="004E61E8">
    <w:pPr>
      <w:pStyle w:val="Footer"/>
      <w:jc w:val="center"/>
    </w:pPr>
    <w:r w:rsidRPr="00AF1CF0">
      <w:t xml:space="preserve">Page </w:t>
    </w:r>
    <w:fldSimple w:instr=" PAGE ">
      <w:r w:rsidR="008757A7">
        <w:rPr>
          <w:noProof/>
        </w:rPr>
        <w:t>2</w:t>
      </w:r>
    </w:fldSimple>
    <w:r w:rsidRPr="00AF1CF0">
      <w:t xml:space="preserve"> of </w:t>
    </w:r>
    <w:fldSimple w:instr=" NUMPAGES  ">
      <w:r w:rsidR="008757A7">
        <w:rPr>
          <w:noProof/>
        </w:rPr>
        <w:t>8</w:t>
      </w:r>
    </w:fldSimple>
  </w:p>
  <w:p w:rsidR="004E61E8" w:rsidRDefault="004E61E8">
    <w:pPr>
      <w:pStyle w:val="Footer"/>
    </w:pPr>
  </w:p>
  <w:p w:rsidR="004E61E8" w:rsidRDefault="004E61E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E8" w:rsidRPr="00D454C8" w:rsidRDefault="004E61E8" w:rsidP="00D454C8">
    <w:pPr>
      <w:pStyle w:val="Footer"/>
      <w:jc w:val="center"/>
      <w:rPr>
        <w:rFonts w:ascii="Arial" w:hAnsi="Arial" w:cs="Arial"/>
        <w:sz w:val="20"/>
        <w:szCs w:val="20"/>
      </w:rPr>
    </w:pPr>
    <w:r w:rsidRPr="00D454C8">
      <w:rPr>
        <w:rFonts w:ascii="Arial" w:hAnsi="Arial" w:cs="Arial"/>
        <w:sz w:val="20"/>
        <w:szCs w:val="20"/>
      </w:rPr>
      <w:t xml:space="preserve">Page </w:t>
    </w:r>
    <w:r w:rsidR="005975CD" w:rsidRPr="00D454C8">
      <w:rPr>
        <w:rFonts w:ascii="Arial" w:hAnsi="Arial" w:cs="Arial"/>
        <w:sz w:val="20"/>
        <w:szCs w:val="20"/>
      </w:rPr>
      <w:fldChar w:fldCharType="begin"/>
    </w:r>
    <w:r w:rsidRPr="00D454C8">
      <w:rPr>
        <w:rFonts w:ascii="Arial" w:hAnsi="Arial" w:cs="Arial"/>
        <w:sz w:val="20"/>
        <w:szCs w:val="20"/>
      </w:rPr>
      <w:instrText xml:space="preserve"> PAGE </w:instrText>
    </w:r>
    <w:r w:rsidR="005975CD" w:rsidRPr="00D454C8">
      <w:rPr>
        <w:rFonts w:ascii="Arial" w:hAnsi="Arial" w:cs="Arial"/>
        <w:sz w:val="20"/>
        <w:szCs w:val="20"/>
      </w:rPr>
      <w:fldChar w:fldCharType="separate"/>
    </w:r>
    <w:r w:rsidR="008757A7">
      <w:rPr>
        <w:rFonts w:ascii="Arial" w:hAnsi="Arial" w:cs="Arial"/>
        <w:noProof/>
        <w:sz w:val="20"/>
        <w:szCs w:val="20"/>
      </w:rPr>
      <w:t>1</w:t>
    </w:r>
    <w:r w:rsidR="005975CD" w:rsidRPr="00D454C8">
      <w:rPr>
        <w:rFonts w:ascii="Arial" w:hAnsi="Arial" w:cs="Arial"/>
        <w:sz w:val="20"/>
        <w:szCs w:val="20"/>
      </w:rPr>
      <w:fldChar w:fldCharType="end"/>
    </w:r>
    <w:r w:rsidRPr="00D454C8">
      <w:rPr>
        <w:rFonts w:ascii="Arial" w:hAnsi="Arial" w:cs="Arial"/>
        <w:sz w:val="20"/>
        <w:szCs w:val="20"/>
      </w:rPr>
      <w:t xml:space="preserve"> of </w:t>
    </w:r>
    <w:r w:rsidR="005975CD" w:rsidRPr="00D454C8">
      <w:rPr>
        <w:rFonts w:ascii="Arial" w:hAnsi="Arial" w:cs="Arial"/>
        <w:sz w:val="20"/>
        <w:szCs w:val="20"/>
      </w:rPr>
      <w:fldChar w:fldCharType="begin"/>
    </w:r>
    <w:r w:rsidRPr="00D454C8">
      <w:rPr>
        <w:rFonts w:ascii="Arial" w:hAnsi="Arial" w:cs="Arial"/>
        <w:sz w:val="20"/>
        <w:szCs w:val="20"/>
      </w:rPr>
      <w:instrText xml:space="preserve"> NUMPAGES </w:instrText>
    </w:r>
    <w:r w:rsidR="005975CD" w:rsidRPr="00D454C8">
      <w:rPr>
        <w:rFonts w:ascii="Arial" w:hAnsi="Arial" w:cs="Arial"/>
        <w:sz w:val="20"/>
        <w:szCs w:val="20"/>
      </w:rPr>
      <w:fldChar w:fldCharType="separate"/>
    </w:r>
    <w:r w:rsidR="008757A7">
      <w:rPr>
        <w:rFonts w:ascii="Arial" w:hAnsi="Arial" w:cs="Arial"/>
        <w:noProof/>
        <w:sz w:val="20"/>
        <w:szCs w:val="20"/>
      </w:rPr>
      <w:t>8</w:t>
    </w:r>
    <w:r w:rsidR="005975CD" w:rsidRPr="00D454C8">
      <w:rPr>
        <w:rFonts w:ascii="Arial" w:hAnsi="Arial" w:cs="Arial"/>
        <w:sz w:val="20"/>
        <w:szCs w:val="20"/>
      </w:rPr>
      <w:fldChar w:fldCharType="end"/>
    </w:r>
  </w:p>
  <w:p w:rsidR="004E61E8" w:rsidRDefault="004E61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1E8" w:rsidRDefault="004E61E8" w:rsidP="00AB21AD">
      <w:pPr>
        <w:pStyle w:val="Objectives"/>
      </w:pPr>
      <w:r>
        <w:separator/>
      </w:r>
    </w:p>
    <w:p w:rsidR="004E61E8" w:rsidRDefault="004E61E8"/>
  </w:footnote>
  <w:footnote w:type="continuationSeparator" w:id="0">
    <w:p w:rsidR="004E61E8" w:rsidRDefault="004E61E8" w:rsidP="00AB21AD">
      <w:pPr>
        <w:pStyle w:val="Objectives"/>
      </w:pPr>
      <w:r>
        <w:continuationSeparator/>
      </w:r>
    </w:p>
    <w:p w:rsidR="004E61E8" w:rsidRDefault="004E61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E8" w:rsidRDefault="004E61E8">
    <w:pPr>
      <w:pStyle w:val="Header"/>
    </w:pPr>
  </w:p>
  <w:p w:rsidR="004E61E8" w:rsidRDefault="004E61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E8" w:rsidRDefault="004E61E8">
    <w:pPr>
      <w:pStyle w:val="Header"/>
    </w:pPr>
  </w:p>
  <w:p w:rsidR="004E61E8" w:rsidRDefault="004E61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4E61E8" w:rsidTr="00AF1CF0">
      <w:tc>
        <w:tcPr>
          <w:tcW w:w="2388" w:type="dxa"/>
          <w:tcBorders>
            <w:bottom w:val="single" w:sz="2" w:space="0" w:color="auto"/>
          </w:tcBorders>
          <w:shd w:val="clear" w:color="auto" w:fill="993366"/>
        </w:tcPr>
        <w:p w:rsidR="004E61E8" w:rsidRDefault="004E61E8" w:rsidP="00AF1CF0">
          <w:pPr>
            <w:pStyle w:val="Header"/>
            <w:jc w:val="center"/>
          </w:pPr>
          <w:r w:rsidRPr="00AF1CF0">
            <w:rPr>
              <w:rFonts w:cs="Arial"/>
              <w:b/>
              <w:color w:val="FFFFFF"/>
              <w:position w:val="-6"/>
              <w:sz w:val="56"/>
              <w:szCs w:val="56"/>
            </w:rPr>
            <w:t>VITAL</w:t>
          </w:r>
          <w:r w:rsidRPr="00AF1CF0">
            <w:rPr>
              <w:rFonts w:cs="Arial"/>
              <w:b/>
              <w:position w:val="-6"/>
              <w:sz w:val="72"/>
              <w:szCs w:val="72"/>
            </w:rPr>
            <w:br/>
          </w:r>
          <w:r w:rsidRPr="00AF1CF0">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4E61E8" w:rsidRPr="00AF1CF0" w:rsidRDefault="004E61E8" w:rsidP="00AF1CF0">
          <w:pPr>
            <w:pStyle w:val="Header"/>
            <w:jc w:val="right"/>
            <w:rPr>
              <w:sz w:val="32"/>
              <w:szCs w:val="32"/>
            </w:rPr>
          </w:pPr>
          <w:r w:rsidRPr="00AF1CF0">
            <w:rPr>
              <w:sz w:val="32"/>
              <w:szCs w:val="32"/>
            </w:rPr>
            <w:t xml:space="preserve">Educational Development Division </w:t>
          </w:r>
        </w:p>
      </w:tc>
    </w:tr>
  </w:tbl>
  <w:p w:rsidR="004E61E8" w:rsidRPr="00C579E6" w:rsidRDefault="004E61E8" w:rsidP="00C579E6">
    <w:pPr>
      <w:pStyle w:val="Header"/>
      <w:jc w:val="right"/>
    </w:pPr>
    <w:r w:rsidRPr="00C579E6">
      <w:t xml:space="preserve">Last updated: </w:t>
    </w:r>
    <w:fldSimple w:instr=" DATE \@ &quot;dd/MM/yy&quot; ">
      <w:r w:rsidR="008757A7">
        <w:rPr>
          <w:noProof/>
        </w:rPr>
        <w:t>19/08/10</w:t>
      </w:r>
    </w:fldSimple>
  </w:p>
  <w:p w:rsidR="004E61E8" w:rsidRDefault="004E61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A09"/>
    <w:multiLevelType w:val="hybridMultilevel"/>
    <w:tmpl w:val="9EAEE1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160068"/>
    <w:multiLevelType w:val="hybridMultilevel"/>
    <w:tmpl w:val="86EC7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6D45C8"/>
    <w:multiLevelType w:val="hybridMultilevel"/>
    <w:tmpl w:val="B488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C344C0"/>
    <w:multiLevelType w:val="hybridMultilevel"/>
    <w:tmpl w:val="548E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E87B7B"/>
    <w:multiLevelType w:val="singleLevel"/>
    <w:tmpl w:val="BF7C802A"/>
    <w:lvl w:ilvl="0">
      <w:start w:val="1"/>
      <w:numFmt w:val="bullet"/>
      <w:pStyle w:val="Bulletcomputer"/>
      <w:lvlText w:val=""/>
      <w:legacy w:legacy="1" w:legacySpace="0" w:legacyIndent="567"/>
      <w:lvlJc w:val="left"/>
      <w:pPr>
        <w:ind w:left="1985" w:hanging="567"/>
      </w:pPr>
      <w:rPr>
        <w:rFonts w:ascii="Wingdings" w:hAnsi="Wingdings" w:hint="default"/>
        <w:sz w:val="20"/>
      </w:rPr>
    </w:lvl>
  </w:abstractNum>
  <w:abstractNum w:abstractNumId="5">
    <w:nsid w:val="343475F9"/>
    <w:multiLevelType w:val="hybridMultilevel"/>
    <w:tmpl w:val="B488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8D2EE2"/>
    <w:multiLevelType w:val="hybridMultilevel"/>
    <w:tmpl w:val="5DE0E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2D816D4"/>
    <w:multiLevelType w:val="hybridMultilevel"/>
    <w:tmpl w:val="97BEE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B24AF7"/>
    <w:multiLevelType w:val="hybridMultilevel"/>
    <w:tmpl w:val="94448C16"/>
    <w:lvl w:ilvl="0" w:tplc="D88E78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BDA10F4"/>
    <w:multiLevelType w:val="hybridMultilevel"/>
    <w:tmpl w:val="1580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954B4F"/>
    <w:multiLevelType w:val="hybridMultilevel"/>
    <w:tmpl w:val="D7C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1"/>
  </w:num>
  <w:num w:numId="6">
    <w:abstractNumId w:val="6"/>
  </w:num>
  <w:num w:numId="7">
    <w:abstractNumId w:val="3"/>
  </w:num>
  <w:num w:numId="8">
    <w:abstractNumId w:val="5"/>
  </w:num>
  <w:num w:numId="9">
    <w:abstractNumId w:val="10"/>
  </w:num>
  <w:num w:numId="10">
    <w:abstractNumId w:val="2"/>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4"/>
  <w:defaultTabStop w:val="720"/>
  <w:drawingGridHorizontalSpacing w:val="120"/>
  <w:drawingGridVerticalSpacing w:val="163"/>
  <w:displayHorizontalDrawingGridEvery w:val="0"/>
  <w:displayVerticalDrawingGridEvery w:val="2"/>
  <w:characterSpacingControl w:val="doNotCompress"/>
  <w:hdrShapeDefaults>
    <o:shapedefaults v:ext="edit" spidmax="49153"/>
  </w:hdrShapeDefaults>
  <w:footnotePr>
    <w:footnote w:id="-1"/>
    <w:footnote w:id="0"/>
  </w:footnotePr>
  <w:endnotePr>
    <w:endnote w:id="-1"/>
    <w:endnote w:id="0"/>
  </w:endnotePr>
  <w:compat/>
  <w:rsids>
    <w:rsidRoot w:val="001C4AF1"/>
    <w:rsid w:val="00013947"/>
    <w:rsid w:val="000148C4"/>
    <w:rsid w:val="00014CC4"/>
    <w:rsid w:val="0001650A"/>
    <w:rsid w:val="0002034E"/>
    <w:rsid w:val="00034A5C"/>
    <w:rsid w:val="00040DDD"/>
    <w:rsid w:val="00043616"/>
    <w:rsid w:val="00045168"/>
    <w:rsid w:val="00051919"/>
    <w:rsid w:val="000537B6"/>
    <w:rsid w:val="00062C71"/>
    <w:rsid w:val="0007310A"/>
    <w:rsid w:val="0007487D"/>
    <w:rsid w:val="00075D4B"/>
    <w:rsid w:val="0009503D"/>
    <w:rsid w:val="000A0835"/>
    <w:rsid w:val="000A3582"/>
    <w:rsid w:val="000A49F1"/>
    <w:rsid w:val="000B4DA9"/>
    <w:rsid w:val="000B610B"/>
    <w:rsid w:val="000B7AE6"/>
    <w:rsid w:val="000C05C0"/>
    <w:rsid w:val="000C0D2F"/>
    <w:rsid w:val="000C4E24"/>
    <w:rsid w:val="000C51E8"/>
    <w:rsid w:val="000D314A"/>
    <w:rsid w:val="000D67BE"/>
    <w:rsid w:val="000E0856"/>
    <w:rsid w:val="000E7666"/>
    <w:rsid w:val="000F15BB"/>
    <w:rsid w:val="000F5174"/>
    <w:rsid w:val="001030AF"/>
    <w:rsid w:val="001077F6"/>
    <w:rsid w:val="001111BC"/>
    <w:rsid w:val="00111EB0"/>
    <w:rsid w:val="00112C17"/>
    <w:rsid w:val="001132A7"/>
    <w:rsid w:val="00114792"/>
    <w:rsid w:val="0012060A"/>
    <w:rsid w:val="00121C34"/>
    <w:rsid w:val="00125030"/>
    <w:rsid w:val="00125D71"/>
    <w:rsid w:val="00131066"/>
    <w:rsid w:val="00131E35"/>
    <w:rsid w:val="00145185"/>
    <w:rsid w:val="001452C5"/>
    <w:rsid w:val="001462AD"/>
    <w:rsid w:val="0014786E"/>
    <w:rsid w:val="00160021"/>
    <w:rsid w:val="001606E4"/>
    <w:rsid w:val="00175D82"/>
    <w:rsid w:val="0017605F"/>
    <w:rsid w:val="00176370"/>
    <w:rsid w:val="00176BBB"/>
    <w:rsid w:val="00176EF2"/>
    <w:rsid w:val="001779D0"/>
    <w:rsid w:val="00186405"/>
    <w:rsid w:val="00186F2C"/>
    <w:rsid w:val="00192CB9"/>
    <w:rsid w:val="00192FBF"/>
    <w:rsid w:val="00194603"/>
    <w:rsid w:val="00196ADE"/>
    <w:rsid w:val="001A23B7"/>
    <w:rsid w:val="001A3781"/>
    <w:rsid w:val="001A4291"/>
    <w:rsid w:val="001B3B13"/>
    <w:rsid w:val="001C4AF1"/>
    <w:rsid w:val="001C78A3"/>
    <w:rsid w:val="001D2D4C"/>
    <w:rsid w:val="001D5F28"/>
    <w:rsid w:val="001D6C63"/>
    <w:rsid w:val="001E1D91"/>
    <w:rsid w:val="001E5B40"/>
    <w:rsid w:val="001F1C95"/>
    <w:rsid w:val="001F5B15"/>
    <w:rsid w:val="001F6A1B"/>
    <w:rsid w:val="00201460"/>
    <w:rsid w:val="00204779"/>
    <w:rsid w:val="0021154E"/>
    <w:rsid w:val="00213214"/>
    <w:rsid w:val="00215126"/>
    <w:rsid w:val="00215139"/>
    <w:rsid w:val="00220C41"/>
    <w:rsid w:val="0023068D"/>
    <w:rsid w:val="0023233B"/>
    <w:rsid w:val="002326B8"/>
    <w:rsid w:val="0024212F"/>
    <w:rsid w:val="00243A23"/>
    <w:rsid w:val="00244A56"/>
    <w:rsid w:val="00255019"/>
    <w:rsid w:val="00265B12"/>
    <w:rsid w:val="00275284"/>
    <w:rsid w:val="00275663"/>
    <w:rsid w:val="00275FD3"/>
    <w:rsid w:val="002764F6"/>
    <w:rsid w:val="0028254D"/>
    <w:rsid w:val="00282C29"/>
    <w:rsid w:val="00282DEE"/>
    <w:rsid w:val="00284DC3"/>
    <w:rsid w:val="00290B82"/>
    <w:rsid w:val="002928D9"/>
    <w:rsid w:val="00294F4C"/>
    <w:rsid w:val="002A0B76"/>
    <w:rsid w:val="002A357E"/>
    <w:rsid w:val="002B177B"/>
    <w:rsid w:val="002B22DA"/>
    <w:rsid w:val="002B3AA6"/>
    <w:rsid w:val="002C1D76"/>
    <w:rsid w:val="002C65DC"/>
    <w:rsid w:val="002C6B9F"/>
    <w:rsid w:val="002D037C"/>
    <w:rsid w:val="002D0E78"/>
    <w:rsid w:val="002D3823"/>
    <w:rsid w:val="002D7FFC"/>
    <w:rsid w:val="002E274C"/>
    <w:rsid w:val="00302358"/>
    <w:rsid w:val="003068A1"/>
    <w:rsid w:val="003134AD"/>
    <w:rsid w:val="00314A68"/>
    <w:rsid w:val="00322017"/>
    <w:rsid w:val="0032799C"/>
    <w:rsid w:val="0033137A"/>
    <w:rsid w:val="00336AFF"/>
    <w:rsid w:val="00337B6D"/>
    <w:rsid w:val="00337C23"/>
    <w:rsid w:val="00350D21"/>
    <w:rsid w:val="00353314"/>
    <w:rsid w:val="00357CF5"/>
    <w:rsid w:val="00370B2E"/>
    <w:rsid w:val="0037311E"/>
    <w:rsid w:val="00375D5A"/>
    <w:rsid w:val="00385174"/>
    <w:rsid w:val="00391FD5"/>
    <w:rsid w:val="003926CF"/>
    <w:rsid w:val="00395959"/>
    <w:rsid w:val="003A0AE9"/>
    <w:rsid w:val="003A3E77"/>
    <w:rsid w:val="003B1061"/>
    <w:rsid w:val="003D0A8F"/>
    <w:rsid w:val="003D0E3C"/>
    <w:rsid w:val="003D1FD8"/>
    <w:rsid w:val="003D3AFA"/>
    <w:rsid w:val="003D78F0"/>
    <w:rsid w:val="003E3364"/>
    <w:rsid w:val="003F08A0"/>
    <w:rsid w:val="003F229D"/>
    <w:rsid w:val="00400C8E"/>
    <w:rsid w:val="004029A8"/>
    <w:rsid w:val="004042EA"/>
    <w:rsid w:val="004076A0"/>
    <w:rsid w:val="0041530B"/>
    <w:rsid w:val="004214F7"/>
    <w:rsid w:val="00423BE5"/>
    <w:rsid w:val="00426BDA"/>
    <w:rsid w:val="00427E58"/>
    <w:rsid w:val="00430DBA"/>
    <w:rsid w:val="00435209"/>
    <w:rsid w:val="004414BD"/>
    <w:rsid w:val="00446FB3"/>
    <w:rsid w:val="00452881"/>
    <w:rsid w:val="00453FEA"/>
    <w:rsid w:val="0045481F"/>
    <w:rsid w:val="00462ED5"/>
    <w:rsid w:val="00465270"/>
    <w:rsid w:val="00484298"/>
    <w:rsid w:val="004847E6"/>
    <w:rsid w:val="00485891"/>
    <w:rsid w:val="004A3D60"/>
    <w:rsid w:val="004A4BB7"/>
    <w:rsid w:val="004B6D3C"/>
    <w:rsid w:val="004C6865"/>
    <w:rsid w:val="004D5EB6"/>
    <w:rsid w:val="004E16EF"/>
    <w:rsid w:val="004E19DB"/>
    <w:rsid w:val="004E2325"/>
    <w:rsid w:val="004E3DD2"/>
    <w:rsid w:val="004E42F6"/>
    <w:rsid w:val="004E519C"/>
    <w:rsid w:val="004E61E8"/>
    <w:rsid w:val="004E7F26"/>
    <w:rsid w:val="004F0BE9"/>
    <w:rsid w:val="004F25ED"/>
    <w:rsid w:val="004F2F6D"/>
    <w:rsid w:val="004F6D37"/>
    <w:rsid w:val="0050375C"/>
    <w:rsid w:val="0051056C"/>
    <w:rsid w:val="00515F34"/>
    <w:rsid w:val="00522494"/>
    <w:rsid w:val="00522C05"/>
    <w:rsid w:val="005327A6"/>
    <w:rsid w:val="005419FF"/>
    <w:rsid w:val="0054519D"/>
    <w:rsid w:val="005575B2"/>
    <w:rsid w:val="00561943"/>
    <w:rsid w:val="00562F67"/>
    <w:rsid w:val="00567F32"/>
    <w:rsid w:val="00570DBA"/>
    <w:rsid w:val="005773FA"/>
    <w:rsid w:val="0057798E"/>
    <w:rsid w:val="005779B3"/>
    <w:rsid w:val="00577AEF"/>
    <w:rsid w:val="00577CC0"/>
    <w:rsid w:val="005805FF"/>
    <w:rsid w:val="00581325"/>
    <w:rsid w:val="00583260"/>
    <w:rsid w:val="0059386D"/>
    <w:rsid w:val="00595189"/>
    <w:rsid w:val="00595A8F"/>
    <w:rsid w:val="005975CD"/>
    <w:rsid w:val="005A0294"/>
    <w:rsid w:val="005A2408"/>
    <w:rsid w:val="005A3FA4"/>
    <w:rsid w:val="005A529A"/>
    <w:rsid w:val="005A63F3"/>
    <w:rsid w:val="005B0CBD"/>
    <w:rsid w:val="005B45A8"/>
    <w:rsid w:val="005C3792"/>
    <w:rsid w:val="005D2936"/>
    <w:rsid w:val="005D4F1A"/>
    <w:rsid w:val="005E18DB"/>
    <w:rsid w:val="005E2B86"/>
    <w:rsid w:val="005E5798"/>
    <w:rsid w:val="005E6CE9"/>
    <w:rsid w:val="005F0D4A"/>
    <w:rsid w:val="005F79E8"/>
    <w:rsid w:val="006000D3"/>
    <w:rsid w:val="0060199B"/>
    <w:rsid w:val="0060736D"/>
    <w:rsid w:val="006120A3"/>
    <w:rsid w:val="00634698"/>
    <w:rsid w:val="00636576"/>
    <w:rsid w:val="006472B4"/>
    <w:rsid w:val="00655D6D"/>
    <w:rsid w:val="00656469"/>
    <w:rsid w:val="0066242D"/>
    <w:rsid w:val="006661A2"/>
    <w:rsid w:val="00666A1F"/>
    <w:rsid w:val="006823B2"/>
    <w:rsid w:val="00684A97"/>
    <w:rsid w:val="0068627F"/>
    <w:rsid w:val="006906A1"/>
    <w:rsid w:val="006919E3"/>
    <w:rsid w:val="00692A4C"/>
    <w:rsid w:val="006A2B31"/>
    <w:rsid w:val="006A552C"/>
    <w:rsid w:val="006A5D85"/>
    <w:rsid w:val="006A6366"/>
    <w:rsid w:val="006B0202"/>
    <w:rsid w:val="006B332A"/>
    <w:rsid w:val="006B3490"/>
    <w:rsid w:val="006B3727"/>
    <w:rsid w:val="006B695A"/>
    <w:rsid w:val="006B6FA9"/>
    <w:rsid w:val="006C0473"/>
    <w:rsid w:val="006C31B3"/>
    <w:rsid w:val="006C4280"/>
    <w:rsid w:val="006C445C"/>
    <w:rsid w:val="006C6A38"/>
    <w:rsid w:val="006D3D49"/>
    <w:rsid w:val="006D579B"/>
    <w:rsid w:val="006D69B4"/>
    <w:rsid w:val="006E0DA1"/>
    <w:rsid w:val="006E13E8"/>
    <w:rsid w:val="006E23B5"/>
    <w:rsid w:val="006E75D6"/>
    <w:rsid w:val="006F46E9"/>
    <w:rsid w:val="006F4F47"/>
    <w:rsid w:val="006F5A4A"/>
    <w:rsid w:val="006F6E4F"/>
    <w:rsid w:val="006F7CEB"/>
    <w:rsid w:val="006F7F47"/>
    <w:rsid w:val="00700383"/>
    <w:rsid w:val="00700A99"/>
    <w:rsid w:val="00700E4E"/>
    <w:rsid w:val="007013D7"/>
    <w:rsid w:val="00703EA7"/>
    <w:rsid w:val="00704778"/>
    <w:rsid w:val="00706DE5"/>
    <w:rsid w:val="00707463"/>
    <w:rsid w:val="007112D5"/>
    <w:rsid w:val="0071486B"/>
    <w:rsid w:val="00721F2F"/>
    <w:rsid w:val="007225F7"/>
    <w:rsid w:val="00734FC3"/>
    <w:rsid w:val="00736ACF"/>
    <w:rsid w:val="00737A6B"/>
    <w:rsid w:val="0074002A"/>
    <w:rsid w:val="00742912"/>
    <w:rsid w:val="007503C7"/>
    <w:rsid w:val="00751459"/>
    <w:rsid w:val="007520E8"/>
    <w:rsid w:val="00763319"/>
    <w:rsid w:val="00763A42"/>
    <w:rsid w:val="0076476A"/>
    <w:rsid w:val="00766209"/>
    <w:rsid w:val="00766777"/>
    <w:rsid w:val="0076713A"/>
    <w:rsid w:val="00767310"/>
    <w:rsid w:val="00780B6F"/>
    <w:rsid w:val="00781025"/>
    <w:rsid w:val="00782B37"/>
    <w:rsid w:val="00783199"/>
    <w:rsid w:val="007846FC"/>
    <w:rsid w:val="00784E2B"/>
    <w:rsid w:val="00791D35"/>
    <w:rsid w:val="007979A6"/>
    <w:rsid w:val="007A470C"/>
    <w:rsid w:val="007A5246"/>
    <w:rsid w:val="007A560B"/>
    <w:rsid w:val="007B2888"/>
    <w:rsid w:val="007B523B"/>
    <w:rsid w:val="007B7645"/>
    <w:rsid w:val="007C271F"/>
    <w:rsid w:val="007C3043"/>
    <w:rsid w:val="007C5FD4"/>
    <w:rsid w:val="007D38FB"/>
    <w:rsid w:val="007D518F"/>
    <w:rsid w:val="007D6EE8"/>
    <w:rsid w:val="007E458C"/>
    <w:rsid w:val="007E59EA"/>
    <w:rsid w:val="007E785D"/>
    <w:rsid w:val="007E7F40"/>
    <w:rsid w:val="007F01C8"/>
    <w:rsid w:val="007F4963"/>
    <w:rsid w:val="0080764A"/>
    <w:rsid w:val="00823BC3"/>
    <w:rsid w:val="00825EF5"/>
    <w:rsid w:val="00832858"/>
    <w:rsid w:val="0083502F"/>
    <w:rsid w:val="00837CE4"/>
    <w:rsid w:val="0084553F"/>
    <w:rsid w:val="008508FD"/>
    <w:rsid w:val="00862880"/>
    <w:rsid w:val="00866C12"/>
    <w:rsid w:val="00870872"/>
    <w:rsid w:val="008757A7"/>
    <w:rsid w:val="00886BDF"/>
    <w:rsid w:val="00887466"/>
    <w:rsid w:val="00887E38"/>
    <w:rsid w:val="00892D04"/>
    <w:rsid w:val="008931CA"/>
    <w:rsid w:val="008A27BB"/>
    <w:rsid w:val="008A5061"/>
    <w:rsid w:val="008A65C8"/>
    <w:rsid w:val="008B084F"/>
    <w:rsid w:val="008B51E0"/>
    <w:rsid w:val="008B6523"/>
    <w:rsid w:val="008B76C2"/>
    <w:rsid w:val="008C2D69"/>
    <w:rsid w:val="008D08E7"/>
    <w:rsid w:val="008D2722"/>
    <w:rsid w:val="008D4E2E"/>
    <w:rsid w:val="008E018E"/>
    <w:rsid w:val="008E40A4"/>
    <w:rsid w:val="00905918"/>
    <w:rsid w:val="00905C18"/>
    <w:rsid w:val="00916837"/>
    <w:rsid w:val="009236C5"/>
    <w:rsid w:val="009237AE"/>
    <w:rsid w:val="00930FB0"/>
    <w:rsid w:val="00932AEF"/>
    <w:rsid w:val="00932DD3"/>
    <w:rsid w:val="0094110B"/>
    <w:rsid w:val="00941555"/>
    <w:rsid w:val="0094254C"/>
    <w:rsid w:val="009505CC"/>
    <w:rsid w:val="00955371"/>
    <w:rsid w:val="009666F2"/>
    <w:rsid w:val="00966E25"/>
    <w:rsid w:val="009763F8"/>
    <w:rsid w:val="00984A33"/>
    <w:rsid w:val="00987FBD"/>
    <w:rsid w:val="00990799"/>
    <w:rsid w:val="00991EBA"/>
    <w:rsid w:val="009A3BB2"/>
    <w:rsid w:val="009A4521"/>
    <w:rsid w:val="009B3623"/>
    <w:rsid w:val="009B413E"/>
    <w:rsid w:val="009C0926"/>
    <w:rsid w:val="009C19DB"/>
    <w:rsid w:val="009C24D4"/>
    <w:rsid w:val="009C3EB0"/>
    <w:rsid w:val="009C638E"/>
    <w:rsid w:val="009C659A"/>
    <w:rsid w:val="009D75D2"/>
    <w:rsid w:val="009E07C9"/>
    <w:rsid w:val="009E3B19"/>
    <w:rsid w:val="009E7D9D"/>
    <w:rsid w:val="009F33A3"/>
    <w:rsid w:val="00A036F2"/>
    <w:rsid w:val="00A04BB4"/>
    <w:rsid w:val="00A051FB"/>
    <w:rsid w:val="00A05CD2"/>
    <w:rsid w:val="00A07355"/>
    <w:rsid w:val="00A111B9"/>
    <w:rsid w:val="00A123BB"/>
    <w:rsid w:val="00A22894"/>
    <w:rsid w:val="00A27962"/>
    <w:rsid w:val="00A4230D"/>
    <w:rsid w:val="00A5426A"/>
    <w:rsid w:val="00A550A7"/>
    <w:rsid w:val="00A56A34"/>
    <w:rsid w:val="00A605F4"/>
    <w:rsid w:val="00A6098E"/>
    <w:rsid w:val="00A62F99"/>
    <w:rsid w:val="00A65826"/>
    <w:rsid w:val="00A66552"/>
    <w:rsid w:val="00A66787"/>
    <w:rsid w:val="00A667F7"/>
    <w:rsid w:val="00A7038F"/>
    <w:rsid w:val="00A831B0"/>
    <w:rsid w:val="00A87FC4"/>
    <w:rsid w:val="00A9189D"/>
    <w:rsid w:val="00A91AF1"/>
    <w:rsid w:val="00A93E86"/>
    <w:rsid w:val="00A9573C"/>
    <w:rsid w:val="00A96A11"/>
    <w:rsid w:val="00AA2FF4"/>
    <w:rsid w:val="00AB21AD"/>
    <w:rsid w:val="00AC1790"/>
    <w:rsid w:val="00AC32DD"/>
    <w:rsid w:val="00AC61B9"/>
    <w:rsid w:val="00AD2D71"/>
    <w:rsid w:val="00AD2DED"/>
    <w:rsid w:val="00AD541C"/>
    <w:rsid w:val="00AD7136"/>
    <w:rsid w:val="00AD7571"/>
    <w:rsid w:val="00AE0F22"/>
    <w:rsid w:val="00AF08B9"/>
    <w:rsid w:val="00AF0A93"/>
    <w:rsid w:val="00AF1CF0"/>
    <w:rsid w:val="00AF3FCE"/>
    <w:rsid w:val="00AF43A4"/>
    <w:rsid w:val="00B04532"/>
    <w:rsid w:val="00B04FDB"/>
    <w:rsid w:val="00B12847"/>
    <w:rsid w:val="00B13B3B"/>
    <w:rsid w:val="00B15A4C"/>
    <w:rsid w:val="00B217E1"/>
    <w:rsid w:val="00B22856"/>
    <w:rsid w:val="00B22D8F"/>
    <w:rsid w:val="00B34DFF"/>
    <w:rsid w:val="00B34E1E"/>
    <w:rsid w:val="00B46DC5"/>
    <w:rsid w:val="00B472DA"/>
    <w:rsid w:val="00B47754"/>
    <w:rsid w:val="00B50938"/>
    <w:rsid w:val="00B53DEC"/>
    <w:rsid w:val="00B5641B"/>
    <w:rsid w:val="00B633C3"/>
    <w:rsid w:val="00B643A4"/>
    <w:rsid w:val="00B65058"/>
    <w:rsid w:val="00B71EA4"/>
    <w:rsid w:val="00B746A0"/>
    <w:rsid w:val="00B828F8"/>
    <w:rsid w:val="00B82FAA"/>
    <w:rsid w:val="00B83877"/>
    <w:rsid w:val="00B9484C"/>
    <w:rsid w:val="00B958C0"/>
    <w:rsid w:val="00B96639"/>
    <w:rsid w:val="00BA215D"/>
    <w:rsid w:val="00BA4DC6"/>
    <w:rsid w:val="00BA5579"/>
    <w:rsid w:val="00BA70EF"/>
    <w:rsid w:val="00BA74D0"/>
    <w:rsid w:val="00BB548E"/>
    <w:rsid w:val="00BB744B"/>
    <w:rsid w:val="00BB7838"/>
    <w:rsid w:val="00BC02FF"/>
    <w:rsid w:val="00BC60C4"/>
    <w:rsid w:val="00BD049F"/>
    <w:rsid w:val="00BD271E"/>
    <w:rsid w:val="00BD3F91"/>
    <w:rsid w:val="00BD4309"/>
    <w:rsid w:val="00BD4D80"/>
    <w:rsid w:val="00BD656B"/>
    <w:rsid w:val="00BD6712"/>
    <w:rsid w:val="00BD70AD"/>
    <w:rsid w:val="00BD7E5B"/>
    <w:rsid w:val="00BF2A70"/>
    <w:rsid w:val="00BF6800"/>
    <w:rsid w:val="00BF7CF1"/>
    <w:rsid w:val="00C0269C"/>
    <w:rsid w:val="00C149BF"/>
    <w:rsid w:val="00C16800"/>
    <w:rsid w:val="00C177E6"/>
    <w:rsid w:val="00C24BBF"/>
    <w:rsid w:val="00C316AD"/>
    <w:rsid w:val="00C32699"/>
    <w:rsid w:val="00C36FF4"/>
    <w:rsid w:val="00C424AE"/>
    <w:rsid w:val="00C43042"/>
    <w:rsid w:val="00C43862"/>
    <w:rsid w:val="00C446DB"/>
    <w:rsid w:val="00C45676"/>
    <w:rsid w:val="00C50598"/>
    <w:rsid w:val="00C50FCE"/>
    <w:rsid w:val="00C579E6"/>
    <w:rsid w:val="00C65F17"/>
    <w:rsid w:val="00C747B3"/>
    <w:rsid w:val="00C8033D"/>
    <w:rsid w:val="00C816B8"/>
    <w:rsid w:val="00C83ED2"/>
    <w:rsid w:val="00C87E0B"/>
    <w:rsid w:val="00CA1F96"/>
    <w:rsid w:val="00CA6F31"/>
    <w:rsid w:val="00CB1B8F"/>
    <w:rsid w:val="00CB60C0"/>
    <w:rsid w:val="00CC30DF"/>
    <w:rsid w:val="00CC4990"/>
    <w:rsid w:val="00CC7857"/>
    <w:rsid w:val="00CD1113"/>
    <w:rsid w:val="00CD41C8"/>
    <w:rsid w:val="00CD7376"/>
    <w:rsid w:val="00CE2E7D"/>
    <w:rsid w:val="00CE3B83"/>
    <w:rsid w:val="00CE5B46"/>
    <w:rsid w:val="00CE6F9A"/>
    <w:rsid w:val="00CF7D66"/>
    <w:rsid w:val="00D000B8"/>
    <w:rsid w:val="00D03F29"/>
    <w:rsid w:val="00D04839"/>
    <w:rsid w:val="00D0676C"/>
    <w:rsid w:val="00D10813"/>
    <w:rsid w:val="00D108ED"/>
    <w:rsid w:val="00D20B94"/>
    <w:rsid w:val="00D22B97"/>
    <w:rsid w:val="00D3027C"/>
    <w:rsid w:val="00D31EF8"/>
    <w:rsid w:val="00D34721"/>
    <w:rsid w:val="00D34FAD"/>
    <w:rsid w:val="00D3522A"/>
    <w:rsid w:val="00D37883"/>
    <w:rsid w:val="00D422B3"/>
    <w:rsid w:val="00D454C8"/>
    <w:rsid w:val="00D62A3F"/>
    <w:rsid w:val="00D630E6"/>
    <w:rsid w:val="00D67115"/>
    <w:rsid w:val="00D72B63"/>
    <w:rsid w:val="00D75479"/>
    <w:rsid w:val="00D7777A"/>
    <w:rsid w:val="00D82E1D"/>
    <w:rsid w:val="00D83768"/>
    <w:rsid w:val="00D852CD"/>
    <w:rsid w:val="00D877CE"/>
    <w:rsid w:val="00DB5A2F"/>
    <w:rsid w:val="00DB6969"/>
    <w:rsid w:val="00DB7C3B"/>
    <w:rsid w:val="00DB7F65"/>
    <w:rsid w:val="00DC5440"/>
    <w:rsid w:val="00DD01ED"/>
    <w:rsid w:val="00DD0E74"/>
    <w:rsid w:val="00DD2CC8"/>
    <w:rsid w:val="00DE0C81"/>
    <w:rsid w:val="00DE126F"/>
    <w:rsid w:val="00DE5752"/>
    <w:rsid w:val="00DE7206"/>
    <w:rsid w:val="00DF6A69"/>
    <w:rsid w:val="00DF76AD"/>
    <w:rsid w:val="00E0005B"/>
    <w:rsid w:val="00E0461B"/>
    <w:rsid w:val="00E069DD"/>
    <w:rsid w:val="00E1138C"/>
    <w:rsid w:val="00E137A5"/>
    <w:rsid w:val="00E31D0B"/>
    <w:rsid w:val="00E378A3"/>
    <w:rsid w:val="00E40C2E"/>
    <w:rsid w:val="00E4107D"/>
    <w:rsid w:val="00E45A4E"/>
    <w:rsid w:val="00E514EE"/>
    <w:rsid w:val="00E5393C"/>
    <w:rsid w:val="00E57ECF"/>
    <w:rsid w:val="00E64E51"/>
    <w:rsid w:val="00E72D01"/>
    <w:rsid w:val="00E845AB"/>
    <w:rsid w:val="00E872F9"/>
    <w:rsid w:val="00E90122"/>
    <w:rsid w:val="00EA0D88"/>
    <w:rsid w:val="00EA4EE3"/>
    <w:rsid w:val="00EA5703"/>
    <w:rsid w:val="00EA6027"/>
    <w:rsid w:val="00EA767A"/>
    <w:rsid w:val="00EB2E4C"/>
    <w:rsid w:val="00EB36B5"/>
    <w:rsid w:val="00EB4D9A"/>
    <w:rsid w:val="00EB60A1"/>
    <w:rsid w:val="00EC15C7"/>
    <w:rsid w:val="00ED116A"/>
    <w:rsid w:val="00ED5A45"/>
    <w:rsid w:val="00ED6196"/>
    <w:rsid w:val="00EE557C"/>
    <w:rsid w:val="00EE78D8"/>
    <w:rsid w:val="00EF11AB"/>
    <w:rsid w:val="00EF3A1A"/>
    <w:rsid w:val="00EF77F9"/>
    <w:rsid w:val="00F01956"/>
    <w:rsid w:val="00F06763"/>
    <w:rsid w:val="00F1344A"/>
    <w:rsid w:val="00F2003E"/>
    <w:rsid w:val="00F23644"/>
    <w:rsid w:val="00F26BDE"/>
    <w:rsid w:val="00F363F2"/>
    <w:rsid w:val="00F36992"/>
    <w:rsid w:val="00F369A9"/>
    <w:rsid w:val="00F438F1"/>
    <w:rsid w:val="00F50254"/>
    <w:rsid w:val="00F52075"/>
    <w:rsid w:val="00F5666C"/>
    <w:rsid w:val="00F5767E"/>
    <w:rsid w:val="00F57A49"/>
    <w:rsid w:val="00F6724E"/>
    <w:rsid w:val="00F73EEC"/>
    <w:rsid w:val="00F77F90"/>
    <w:rsid w:val="00F81280"/>
    <w:rsid w:val="00F82D89"/>
    <w:rsid w:val="00F8454B"/>
    <w:rsid w:val="00F848E7"/>
    <w:rsid w:val="00F86ED3"/>
    <w:rsid w:val="00F93894"/>
    <w:rsid w:val="00F94311"/>
    <w:rsid w:val="00F94360"/>
    <w:rsid w:val="00F9458A"/>
    <w:rsid w:val="00FA6D5C"/>
    <w:rsid w:val="00FA7D3E"/>
    <w:rsid w:val="00FB3320"/>
    <w:rsid w:val="00FB694D"/>
    <w:rsid w:val="00FC08AE"/>
    <w:rsid w:val="00FC1B44"/>
    <w:rsid w:val="00FC31DF"/>
    <w:rsid w:val="00FC503E"/>
    <w:rsid w:val="00FD35EC"/>
    <w:rsid w:val="00FE1D8A"/>
    <w:rsid w:val="00FE291A"/>
    <w:rsid w:val="00FE56C1"/>
    <w:rsid w:val="00FF0EDF"/>
    <w:rsid w:val="00FF19C7"/>
    <w:rsid w:val="00FF6C7B"/>
    <w:rsid w:val="00FF6DAC"/>
    <w:rsid w:val="00FF72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18E"/>
    <w:rPr>
      <w:rFonts w:ascii="Trebuchet MS" w:hAnsi="Trebuchet MS"/>
      <w:sz w:val="22"/>
      <w:szCs w:val="24"/>
      <w:lang w:eastAsia="en-US"/>
    </w:rPr>
  </w:style>
  <w:style w:type="paragraph" w:styleId="Heading1">
    <w:name w:val="heading 1"/>
    <w:basedOn w:val="Normal"/>
    <w:next w:val="Normal"/>
    <w:qFormat/>
    <w:rsid w:val="006F7CEB"/>
    <w:pPr>
      <w:keepNext/>
      <w:spacing w:before="240" w:after="60"/>
      <w:outlineLvl w:val="0"/>
    </w:pPr>
    <w:rPr>
      <w:rFonts w:cs="Arial"/>
      <w:b/>
      <w:bCs/>
      <w:kern w:val="32"/>
      <w:sz w:val="28"/>
      <w:szCs w:val="32"/>
    </w:rPr>
  </w:style>
  <w:style w:type="paragraph" w:styleId="Heading2">
    <w:name w:val="heading 2"/>
    <w:basedOn w:val="Normal"/>
    <w:next w:val="Normal"/>
    <w:link w:val="Heading2Char"/>
    <w:unhideWhenUsed/>
    <w:qFormat/>
    <w:rsid w:val="008E018E"/>
    <w:pPr>
      <w:keepNext/>
      <w:keepLines/>
      <w:spacing w:before="20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ED5A45"/>
    <w:rPr>
      <w:rFonts w:ascii="Arial" w:hAnsi="Arial" w:cs="Arial"/>
    </w:rPr>
  </w:style>
  <w:style w:type="paragraph" w:customStyle="1" w:styleId="cgBoxText">
    <w:name w:val="cgBoxText"/>
    <w:basedOn w:val="Normal"/>
    <w:rsid w:val="00ED5A45"/>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ED5A45"/>
    <w:rPr>
      <w:color w:val="666699"/>
      <w:sz w:val="20"/>
    </w:rPr>
  </w:style>
  <w:style w:type="paragraph" w:customStyle="1" w:styleId="cgComment">
    <w:name w:val="cgComment"/>
    <w:basedOn w:val="Normal"/>
    <w:rsid w:val="00ED5A45"/>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ED5A45"/>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ED5A45"/>
    <w:pPr>
      <w:spacing w:after="120"/>
    </w:pPr>
    <w:rPr>
      <w:rFonts w:ascii="Arial" w:hAnsi="Arial" w:cs="Arial"/>
      <w:b/>
      <w:sz w:val="28"/>
    </w:rPr>
  </w:style>
  <w:style w:type="paragraph" w:customStyle="1" w:styleId="cgInclude">
    <w:name w:val="cgInclude"/>
    <w:basedOn w:val="cgBodyText"/>
    <w:rsid w:val="00ED5A45"/>
    <w:pPr>
      <w:shd w:val="clear" w:color="auto" w:fill="A4A4C2"/>
    </w:pPr>
  </w:style>
  <w:style w:type="paragraph" w:customStyle="1" w:styleId="cgLiteral">
    <w:name w:val="cgLiteral"/>
    <w:basedOn w:val="Normal"/>
    <w:rsid w:val="00ED5A45"/>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ED5A45"/>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ED5A45"/>
    <w:pPr>
      <w:shd w:val="clear" w:color="auto" w:fill="D9D9D9"/>
    </w:pPr>
    <w:rPr>
      <w:rFonts w:ascii="Arial" w:hAnsi="Arial" w:cs="Arial"/>
    </w:rPr>
  </w:style>
  <w:style w:type="paragraph" w:customStyle="1" w:styleId="cgPopup">
    <w:name w:val="cgPopup"/>
    <w:basedOn w:val="cgBodyText"/>
    <w:rsid w:val="00ED5A45"/>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ED5A45"/>
    <w:pPr>
      <w:shd w:val="clear" w:color="auto" w:fill="FFFF99"/>
      <w:ind w:left="567" w:right="567"/>
    </w:pPr>
    <w:rPr>
      <w:i/>
      <w:iCs/>
    </w:rPr>
  </w:style>
  <w:style w:type="paragraph" w:customStyle="1" w:styleId="cgSubHeading">
    <w:name w:val="cgSubHeading"/>
    <w:basedOn w:val="Normal"/>
    <w:autoRedefine/>
    <w:rsid w:val="00ED5A45"/>
    <w:pPr>
      <w:spacing w:after="60"/>
    </w:pPr>
    <w:rPr>
      <w:rFonts w:ascii="Arial" w:hAnsi="Arial" w:cs="Arial"/>
      <w:b/>
      <w:bCs/>
    </w:rPr>
  </w:style>
  <w:style w:type="paragraph" w:customStyle="1" w:styleId="cgSummary">
    <w:name w:val="cgSummary"/>
    <w:basedOn w:val="Normal"/>
    <w:rsid w:val="00ED5A45"/>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ED5A45"/>
    <w:pPr>
      <w:shd w:val="clear" w:color="auto" w:fill="FFCC00"/>
    </w:pPr>
    <w:rPr>
      <w:lang w:val="en-US"/>
    </w:rPr>
  </w:style>
  <w:style w:type="paragraph" w:customStyle="1" w:styleId="cgTableRowHead">
    <w:name w:val="cgTableRowHead"/>
    <w:basedOn w:val="cgTableColumnHead"/>
    <w:rsid w:val="00ED5A45"/>
    <w:pPr>
      <w:shd w:val="clear" w:color="auto" w:fill="FFCC99"/>
    </w:pPr>
  </w:style>
  <w:style w:type="paragraph" w:styleId="NormalIndent">
    <w:name w:val="Normal Indent"/>
    <w:basedOn w:val="Normal"/>
    <w:rsid w:val="00ED5A45"/>
    <w:pPr>
      <w:ind w:left="720"/>
    </w:pPr>
  </w:style>
  <w:style w:type="paragraph" w:customStyle="1" w:styleId="xxQuestionBody">
    <w:name w:val="xxQuestionBody"/>
    <w:basedOn w:val="cgBodyText"/>
    <w:rsid w:val="00ED5A45"/>
    <w:pPr>
      <w:shd w:val="clear" w:color="auto" w:fill="CCCCCC"/>
    </w:pPr>
    <w:rPr>
      <w:vanish/>
    </w:rPr>
  </w:style>
  <w:style w:type="paragraph" w:customStyle="1" w:styleId="xxQuestionHide">
    <w:name w:val="xxQuestionHide"/>
    <w:basedOn w:val="cgBodyText"/>
    <w:next w:val="cgBodyText"/>
    <w:rsid w:val="00ED5A45"/>
    <w:pPr>
      <w:shd w:val="clear" w:color="auto" w:fill="CCCCCC"/>
    </w:pPr>
    <w:rPr>
      <w:vanish/>
    </w:rPr>
  </w:style>
  <w:style w:type="paragraph" w:customStyle="1" w:styleId="xxQuestionShow">
    <w:name w:val="xxQuestionShow"/>
    <w:basedOn w:val="cgBodyText"/>
    <w:next w:val="cgBodyText"/>
    <w:rsid w:val="00ED5A45"/>
    <w:pPr>
      <w:shd w:val="clear" w:color="auto" w:fill="CCCCCC"/>
    </w:pPr>
  </w:style>
  <w:style w:type="paragraph" w:customStyle="1" w:styleId="xxQuestionSummary">
    <w:name w:val="xxQuestionSummary"/>
    <w:basedOn w:val="cgBodyText"/>
    <w:rsid w:val="00ED5A45"/>
    <w:pPr>
      <w:shd w:val="clear" w:color="auto" w:fill="CCCCCC"/>
    </w:pPr>
  </w:style>
  <w:style w:type="paragraph" w:customStyle="1" w:styleId="cgSectionTitle">
    <w:name w:val="cgSectionTitle"/>
    <w:basedOn w:val="cgBodyText"/>
    <w:next w:val="cgBodyText"/>
    <w:rsid w:val="00ED5A45"/>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uiPriority w:val="99"/>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character" w:customStyle="1" w:styleId="FooterChar">
    <w:name w:val="Footer Char"/>
    <w:basedOn w:val="DefaultParagraphFont"/>
    <w:link w:val="Footer"/>
    <w:uiPriority w:val="99"/>
    <w:rsid w:val="00AF1CF0"/>
    <w:rPr>
      <w:sz w:val="24"/>
      <w:szCs w:val="24"/>
      <w:lang w:eastAsia="en-US"/>
    </w:rPr>
  </w:style>
  <w:style w:type="paragraph" w:styleId="ListParagraph">
    <w:name w:val="List Paragraph"/>
    <w:basedOn w:val="Normal"/>
    <w:uiPriority w:val="34"/>
    <w:qFormat/>
    <w:rsid w:val="006A552C"/>
    <w:pPr>
      <w:ind w:left="720"/>
      <w:contextualSpacing/>
    </w:pPr>
  </w:style>
  <w:style w:type="character" w:customStyle="1" w:styleId="Heading2Char">
    <w:name w:val="Heading 2 Char"/>
    <w:basedOn w:val="DefaultParagraphFont"/>
    <w:link w:val="Heading2"/>
    <w:rsid w:val="008E018E"/>
    <w:rPr>
      <w:rFonts w:ascii="Trebuchet MS" w:eastAsiaTheme="majorEastAsia" w:hAnsi="Trebuchet MS" w:cstheme="majorBidi"/>
      <w:b/>
      <w:bCs/>
      <w:color w:val="000000" w:themeColor="text1"/>
      <w:sz w:val="24"/>
      <w:szCs w:val="26"/>
      <w:lang w:eastAsia="en-US"/>
    </w:rPr>
  </w:style>
  <w:style w:type="character" w:styleId="FollowedHyperlink">
    <w:name w:val="FollowedHyperlink"/>
    <w:basedOn w:val="DefaultParagraphFont"/>
    <w:rsid w:val="00C316AD"/>
    <w:rPr>
      <w:color w:val="800080" w:themeColor="followedHyperlink"/>
      <w:u w:val="single"/>
    </w:rPr>
  </w:style>
  <w:style w:type="paragraph" w:styleId="TOC1">
    <w:name w:val="toc 1"/>
    <w:basedOn w:val="Normal"/>
    <w:next w:val="Normal"/>
    <w:autoRedefine/>
    <w:uiPriority w:val="39"/>
    <w:rsid w:val="0094254C"/>
    <w:rPr>
      <w:b/>
      <w:color w:val="1F497D" w:themeColor="text2"/>
      <w:sz w:val="20"/>
      <w:u w:val="single"/>
    </w:rPr>
  </w:style>
  <w:style w:type="paragraph" w:styleId="TOC2">
    <w:name w:val="toc 2"/>
    <w:basedOn w:val="Normal"/>
    <w:next w:val="Normal"/>
    <w:autoRedefine/>
    <w:uiPriority w:val="39"/>
    <w:rsid w:val="0094254C"/>
    <w:pPr>
      <w:ind w:left="221"/>
    </w:pPr>
    <w:rPr>
      <w:color w:val="1F497D" w:themeColor="text2"/>
      <w:sz w:val="18"/>
      <w:u w:val="single"/>
    </w:rPr>
  </w:style>
  <w:style w:type="paragraph" w:customStyle="1" w:styleId="Bulletcomputer">
    <w:name w:val="Bullet computer"/>
    <w:basedOn w:val="Normal"/>
    <w:next w:val="Normal"/>
    <w:rsid w:val="00CE5B46"/>
    <w:pPr>
      <w:numPr>
        <w:numId w:val="1"/>
      </w:numP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53121294">
      <w:bodyDiv w:val="1"/>
      <w:marLeft w:val="0"/>
      <w:marRight w:val="0"/>
      <w:marTop w:val="0"/>
      <w:marBottom w:val="0"/>
      <w:divBdr>
        <w:top w:val="none" w:sz="0" w:space="0" w:color="auto"/>
        <w:left w:val="none" w:sz="0" w:space="0" w:color="auto"/>
        <w:bottom w:val="none" w:sz="0" w:space="0" w:color="auto"/>
        <w:right w:val="none" w:sz="0" w:space="0" w:color="auto"/>
      </w:divBdr>
    </w:div>
    <w:div w:id="1353873357">
      <w:bodyDiv w:val="1"/>
      <w:marLeft w:val="0"/>
      <w:marRight w:val="0"/>
      <w:marTop w:val="0"/>
      <w:marBottom w:val="0"/>
      <w:divBdr>
        <w:top w:val="none" w:sz="0" w:space="0" w:color="auto"/>
        <w:left w:val="none" w:sz="0" w:space="0" w:color="auto"/>
        <w:bottom w:val="none" w:sz="0" w:space="0" w:color="auto"/>
        <w:right w:val="none" w:sz="0" w:space="0" w:color="auto"/>
      </w:divBdr>
    </w:div>
    <w:div w:id="19945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mailto:tulip@liv.ac.uk"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tulip@liv.ac.uk" TargetMode="External"/><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ac.uk/tulip/" TargetMode="External"/><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browna@liverpool.ac.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v.ac.uk/csd/registration/index.htm"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mailto:helpdesk@liv.ac.uk"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9F1C-4D36-4DBA-8635-0921738A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1514</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subject/>
  <dc:creator>Computing Services</dc:creator>
  <cp:keywords/>
  <dc:description/>
  <cp:lastModifiedBy>Computing Services</cp:lastModifiedBy>
  <cp:revision>18</cp:revision>
  <cp:lastPrinted>2010-08-19T08:55:00Z</cp:lastPrinted>
  <dcterms:created xsi:type="dcterms:W3CDTF">2010-08-18T14:21:00Z</dcterms:created>
  <dcterms:modified xsi:type="dcterms:W3CDTF">2010-08-19T08:56:00Z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ies>
</file>